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B8A3A" w14:textId="77777777" w:rsidR="00230093" w:rsidRPr="00823FED" w:rsidRDefault="00E52DA2" w:rsidP="00716035">
      <w:pPr>
        <w:spacing w:after="0" w:line="240" w:lineRule="auto"/>
        <w:jc w:val="center"/>
        <w:rPr>
          <w:rFonts w:ascii="Cambria" w:hAnsi="Cambria" w:cstheme="minorHAnsi"/>
          <w:b/>
          <w:bCs/>
          <w:caps/>
        </w:rPr>
      </w:pPr>
      <w:r w:rsidRPr="00823FED">
        <w:rPr>
          <w:rFonts w:ascii="Cambria" w:hAnsi="Cambria" w:cstheme="minorHAnsi"/>
          <w:b/>
          <w:bCs/>
          <w:lang w:eastAsia="bg-BG"/>
        </w:rPr>
        <w:t>Отчет по к</w:t>
      </w:r>
      <w:r w:rsidR="00230093" w:rsidRPr="00823FED">
        <w:rPr>
          <w:rFonts w:ascii="Cambria" w:hAnsi="Cambria" w:cstheme="minorHAnsi"/>
          <w:b/>
          <w:bCs/>
          <w:lang w:eastAsia="bg-BG"/>
        </w:rPr>
        <w:t>лючови индикатори за изпълнение на политиките и целеви стойности за</w:t>
      </w:r>
      <w:r w:rsidR="00BF28B6" w:rsidRPr="00823FED">
        <w:rPr>
          <w:rFonts w:ascii="Cambria" w:hAnsi="Cambria" w:cstheme="minorHAnsi"/>
          <w:b/>
          <w:bCs/>
          <w:lang w:eastAsia="bg-BG"/>
        </w:rPr>
        <w:t xml:space="preserve"> </w:t>
      </w:r>
      <w:r w:rsidR="00C6179F" w:rsidRPr="00823FED">
        <w:rPr>
          <w:rFonts w:ascii="Cambria" w:hAnsi="Cambria" w:cstheme="minorHAnsi"/>
          <w:b/>
          <w:bCs/>
          <w:lang w:eastAsia="bg-BG"/>
        </w:rPr>
        <w:t xml:space="preserve">първото полугодие на </w:t>
      </w:r>
      <w:r w:rsidR="00BF28B6" w:rsidRPr="00823FED">
        <w:rPr>
          <w:rFonts w:ascii="Cambria" w:hAnsi="Cambria" w:cstheme="minorHAnsi"/>
          <w:b/>
          <w:bCs/>
          <w:lang w:eastAsia="bg-BG"/>
        </w:rPr>
        <w:t>202</w:t>
      </w:r>
      <w:r w:rsidR="00C6179F" w:rsidRPr="00823FED">
        <w:rPr>
          <w:rFonts w:ascii="Cambria" w:hAnsi="Cambria" w:cstheme="minorHAnsi"/>
          <w:b/>
          <w:bCs/>
          <w:lang w:eastAsia="bg-BG"/>
        </w:rPr>
        <w:t>1</w:t>
      </w:r>
      <w:r w:rsidRPr="00823FED">
        <w:rPr>
          <w:rFonts w:ascii="Cambria" w:hAnsi="Cambria" w:cstheme="minorHAnsi"/>
          <w:b/>
          <w:bCs/>
          <w:lang w:eastAsia="bg-BG"/>
        </w:rPr>
        <w:t xml:space="preserve"> г. </w:t>
      </w:r>
      <w:r w:rsidR="00230093" w:rsidRPr="00823FED">
        <w:rPr>
          <w:rFonts w:ascii="Cambria" w:hAnsi="Cambria" w:cstheme="minorHAnsi"/>
          <w:b/>
          <w:bCs/>
        </w:rPr>
        <w:t xml:space="preserve">на </w:t>
      </w:r>
      <w:r w:rsidR="00A32220" w:rsidRPr="00823FED">
        <w:rPr>
          <w:rFonts w:ascii="Cambria" w:hAnsi="Cambria" w:cstheme="minorHAnsi"/>
          <w:b/>
          <w:bCs/>
        </w:rPr>
        <w:t>Министерството на външните работи</w:t>
      </w:r>
    </w:p>
    <w:p w14:paraId="0C62B5C1" w14:textId="77777777" w:rsidR="00230093" w:rsidRPr="00823FED" w:rsidRDefault="00230093" w:rsidP="00716035">
      <w:pPr>
        <w:spacing w:after="0" w:line="240" w:lineRule="auto"/>
        <w:jc w:val="center"/>
        <w:rPr>
          <w:rFonts w:ascii="Cambria" w:hAnsi="Cambria" w:cstheme="minorHAnsi"/>
          <w:b/>
          <w:bCs/>
          <w:caps/>
        </w:rPr>
      </w:pPr>
    </w:p>
    <w:p w14:paraId="41E3690E" w14:textId="77777777" w:rsidR="00230093" w:rsidRPr="00823FED" w:rsidRDefault="00230093" w:rsidP="00716035">
      <w:pPr>
        <w:spacing w:after="0" w:line="240" w:lineRule="auto"/>
        <w:ind w:firstLine="708"/>
        <w:jc w:val="both"/>
        <w:rPr>
          <w:rFonts w:ascii="Cambria" w:hAnsi="Cambria" w:cstheme="minorHAnsi"/>
        </w:rPr>
      </w:pPr>
    </w:p>
    <w:p w14:paraId="4C4223EA" w14:textId="77777777" w:rsidR="00A32220" w:rsidRPr="00823FED" w:rsidRDefault="00A32220" w:rsidP="00716035">
      <w:pPr>
        <w:spacing w:after="0" w:line="240" w:lineRule="auto"/>
        <w:ind w:firstLine="708"/>
        <w:jc w:val="both"/>
        <w:rPr>
          <w:rFonts w:ascii="Cambria" w:hAnsi="Cambria" w:cstheme="minorHAnsi"/>
          <w:color w:val="000000"/>
        </w:rPr>
      </w:pPr>
      <w:r w:rsidRPr="00823FED">
        <w:rPr>
          <w:rFonts w:ascii="Cambria" w:hAnsi="Cambria" w:cstheme="minorHAnsi"/>
          <w:color w:val="000000"/>
        </w:rPr>
        <w:t xml:space="preserve">За </w:t>
      </w:r>
      <w:r w:rsidRPr="00823FED">
        <w:rPr>
          <w:rFonts w:ascii="Cambria" w:hAnsi="Cambria" w:cstheme="minorHAnsi"/>
        </w:rPr>
        <w:t>целите</w:t>
      </w:r>
      <w:r w:rsidRPr="00823FED">
        <w:rPr>
          <w:rFonts w:ascii="Cambria" w:hAnsi="Cambria" w:cstheme="minorHAnsi"/>
          <w:color w:val="000000"/>
        </w:rPr>
        <w:t xml:space="preserve"> на програмното бюджетиране и предвид административното </w:t>
      </w:r>
      <w:r w:rsidR="000A0E83" w:rsidRPr="00823FED">
        <w:rPr>
          <w:rFonts w:ascii="Cambria" w:hAnsi="Cambria" w:cstheme="minorHAnsi"/>
          <w:color w:val="000000"/>
        </w:rPr>
        <w:t xml:space="preserve">и </w:t>
      </w:r>
      <w:r w:rsidRPr="00823FED">
        <w:rPr>
          <w:rFonts w:ascii="Cambria" w:hAnsi="Cambria" w:cstheme="minorHAnsi"/>
          <w:color w:val="000000"/>
        </w:rPr>
        <w:t>функционалното разпределение в дейността на М</w:t>
      </w:r>
      <w:r w:rsidR="00DA7D34" w:rsidRPr="00823FED">
        <w:rPr>
          <w:rFonts w:ascii="Cambria" w:hAnsi="Cambria" w:cstheme="minorHAnsi"/>
          <w:color w:val="000000"/>
        </w:rPr>
        <w:t>инистерството на външните работи</w:t>
      </w:r>
      <w:r w:rsidRPr="00823FED">
        <w:rPr>
          <w:rFonts w:ascii="Cambria" w:hAnsi="Cambria" w:cstheme="minorHAnsi"/>
          <w:color w:val="000000"/>
        </w:rPr>
        <w:t xml:space="preserve">, </w:t>
      </w:r>
      <w:r w:rsidR="00DA7D34" w:rsidRPr="00823FED">
        <w:rPr>
          <w:rFonts w:ascii="Cambria" w:hAnsi="Cambria" w:cstheme="minorHAnsi"/>
          <w:color w:val="000000"/>
        </w:rPr>
        <w:t xml:space="preserve">с оглед </w:t>
      </w:r>
      <w:r w:rsidRPr="00823FED">
        <w:rPr>
          <w:rFonts w:ascii="Cambria" w:hAnsi="Cambria" w:cstheme="minorHAnsi"/>
          <w:color w:val="000000"/>
        </w:rPr>
        <w:t xml:space="preserve">отчетност </w:t>
      </w:r>
      <w:r w:rsidR="00DA7D34" w:rsidRPr="00823FED">
        <w:rPr>
          <w:rFonts w:ascii="Cambria" w:hAnsi="Cambria" w:cstheme="minorHAnsi"/>
          <w:color w:val="000000"/>
        </w:rPr>
        <w:t xml:space="preserve">и ефективност </w:t>
      </w:r>
      <w:r w:rsidRPr="00823FED">
        <w:rPr>
          <w:rFonts w:ascii="Cambria" w:hAnsi="Cambria" w:cstheme="minorHAnsi"/>
          <w:color w:val="000000"/>
        </w:rPr>
        <w:t xml:space="preserve">са формулирани три политики - </w:t>
      </w:r>
      <w:r w:rsidRPr="00823FED">
        <w:rPr>
          <w:rFonts w:ascii="Cambria" w:hAnsi="Cambria" w:cstheme="minorHAnsi"/>
          <w:i/>
          <w:color w:val="000000"/>
        </w:rPr>
        <w:t>„Развитие на ефективна дипломатическа служба”</w:t>
      </w:r>
      <w:r w:rsidRPr="00823FED">
        <w:rPr>
          <w:rFonts w:ascii="Cambria" w:hAnsi="Cambria" w:cstheme="minorHAnsi"/>
          <w:color w:val="000000"/>
        </w:rPr>
        <w:t>, „</w:t>
      </w:r>
      <w:r w:rsidRPr="00823FED">
        <w:rPr>
          <w:rFonts w:ascii="Cambria" w:hAnsi="Cambria" w:cstheme="minorHAnsi"/>
          <w:i/>
          <w:color w:val="000000"/>
        </w:rPr>
        <w:t>Публична дипломация”</w:t>
      </w:r>
      <w:r w:rsidRPr="00823FED">
        <w:rPr>
          <w:rFonts w:ascii="Cambria" w:hAnsi="Cambria" w:cstheme="minorHAnsi"/>
          <w:color w:val="000000"/>
        </w:rPr>
        <w:t xml:space="preserve">, </w:t>
      </w:r>
      <w:r w:rsidRPr="00823FED">
        <w:rPr>
          <w:rFonts w:ascii="Cambria" w:hAnsi="Cambria" w:cstheme="minorHAnsi"/>
          <w:i/>
          <w:color w:val="000000"/>
        </w:rPr>
        <w:t>„Активна двустранна и многостранна дипломация”</w:t>
      </w:r>
      <w:r w:rsidRPr="00823FED">
        <w:rPr>
          <w:rFonts w:ascii="Cambria" w:hAnsi="Cambria" w:cstheme="minorHAnsi"/>
          <w:color w:val="000000"/>
        </w:rPr>
        <w:t xml:space="preserve"> и </w:t>
      </w:r>
      <w:r w:rsidRPr="00823FED">
        <w:rPr>
          <w:rFonts w:ascii="Cambria" w:hAnsi="Cambria" w:cstheme="minorHAnsi"/>
          <w:i/>
          <w:color w:val="000000"/>
        </w:rPr>
        <w:t>единадесет програми</w:t>
      </w:r>
      <w:r w:rsidR="00CD07DE" w:rsidRPr="00823FED">
        <w:rPr>
          <w:rFonts w:ascii="Cambria" w:hAnsi="Cambria" w:cstheme="minorHAnsi"/>
          <w:color w:val="000000"/>
        </w:rPr>
        <w:t>.</w:t>
      </w:r>
      <w:r w:rsidRPr="00823FED">
        <w:rPr>
          <w:rFonts w:ascii="Cambria" w:hAnsi="Cambria" w:cstheme="minorHAnsi"/>
          <w:color w:val="000000"/>
        </w:rPr>
        <w:t xml:space="preserve"> </w:t>
      </w:r>
      <w:r w:rsidR="00CD07DE" w:rsidRPr="00823FED">
        <w:rPr>
          <w:rFonts w:ascii="Cambria" w:hAnsi="Cambria" w:cstheme="minorHAnsi"/>
          <w:color w:val="000000"/>
        </w:rPr>
        <w:t>В тази рамка се систематизират разнородните дейности на дипломатическата служба в изпълнение на целите и осъществяване на мерките, разписани в Програмата за управление на Правителството на Република България за периода 2017-2021 г., както и в изпълнение на редица други ключови стратегически документи като Стратегия за национална сигурност и актуализирана Стратегия за национална сигурност; Национална стратегия за българските граждани и историческите български общности по света; Национална програма за развитие 2030; Средносрочна програма за помощ за развитие и хуманитарна помощ на Република България за периода 2020-2024 г.; актуализирана Стратегия за развитие на електронното управление в Република България 2019-2025 и други.</w:t>
      </w:r>
    </w:p>
    <w:p w14:paraId="20689C14" w14:textId="77777777" w:rsidR="00C57C51" w:rsidRPr="00823FED" w:rsidRDefault="00C57C51" w:rsidP="00716035">
      <w:pPr>
        <w:spacing w:after="0" w:line="240" w:lineRule="auto"/>
        <w:ind w:firstLine="708"/>
        <w:jc w:val="both"/>
        <w:rPr>
          <w:rFonts w:ascii="Cambria" w:hAnsi="Cambria" w:cstheme="minorHAnsi"/>
          <w:color w:val="000000"/>
        </w:rPr>
      </w:pPr>
    </w:p>
    <w:p w14:paraId="68387D76" w14:textId="77777777" w:rsidR="00C57C51" w:rsidRPr="00823FED" w:rsidRDefault="00C57C51" w:rsidP="00716035">
      <w:pPr>
        <w:spacing w:after="0" w:line="240" w:lineRule="auto"/>
        <w:ind w:firstLine="708"/>
        <w:jc w:val="both"/>
        <w:rPr>
          <w:rFonts w:ascii="Cambria" w:hAnsi="Cambria" w:cstheme="minorHAnsi"/>
          <w:color w:val="000000"/>
        </w:rPr>
      </w:pPr>
    </w:p>
    <w:p w14:paraId="5A31FBAC" w14:textId="77777777" w:rsidR="00C57C51" w:rsidRPr="00823FED" w:rsidRDefault="00C57C51" w:rsidP="00C57C51">
      <w:pPr>
        <w:numPr>
          <w:ilvl w:val="0"/>
          <w:numId w:val="3"/>
        </w:numPr>
        <w:spacing w:after="0" w:line="240" w:lineRule="auto"/>
        <w:jc w:val="both"/>
        <w:rPr>
          <w:rFonts w:ascii="Cambria" w:hAnsi="Cambria" w:cstheme="minorHAnsi"/>
          <w:b/>
          <w:i/>
        </w:rPr>
      </w:pPr>
      <w:r w:rsidRPr="00823FED">
        <w:rPr>
          <w:rFonts w:ascii="Cambria" w:hAnsi="Cambria" w:cstheme="minorHAnsi"/>
          <w:b/>
          <w:i/>
        </w:rPr>
        <w:t>Отговорност за разпределението на публичните разходи за политиката</w:t>
      </w:r>
    </w:p>
    <w:p w14:paraId="4A90CD3A" w14:textId="77777777" w:rsidR="00191852" w:rsidRPr="00823FED" w:rsidRDefault="00191852" w:rsidP="00716035">
      <w:pPr>
        <w:spacing w:after="0" w:line="240" w:lineRule="auto"/>
        <w:jc w:val="both"/>
        <w:rPr>
          <w:rFonts w:ascii="Cambria" w:hAnsi="Cambria" w:cstheme="minorHAnsi"/>
          <w:b/>
          <w:i/>
        </w:rPr>
      </w:pPr>
    </w:p>
    <w:tbl>
      <w:tblPr>
        <w:tblW w:w="11012" w:type="dxa"/>
        <w:tblInd w:w="-861" w:type="dxa"/>
        <w:tblLayout w:type="fixed"/>
        <w:tblCellMar>
          <w:left w:w="70" w:type="dxa"/>
          <w:right w:w="70" w:type="dxa"/>
        </w:tblCellMar>
        <w:tblLook w:val="04A0" w:firstRow="1" w:lastRow="0" w:firstColumn="1" w:lastColumn="0" w:noHBand="0" w:noVBand="1"/>
      </w:tblPr>
      <w:tblGrid>
        <w:gridCol w:w="1135"/>
        <w:gridCol w:w="1275"/>
        <w:gridCol w:w="1015"/>
        <w:gridCol w:w="1022"/>
        <w:gridCol w:w="1022"/>
        <w:gridCol w:w="1021"/>
        <w:gridCol w:w="1023"/>
        <w:gridCol w:w="851"/>
        <w:gridCol w:w="786"/>
        <w:gridCol w:w="924"/>
        <w:gridCol w:w="938"/>
      </w:tblGrid>
      <w:tr w:rsidR="00D10DC0" w:rsidRPr="00D10DC0" w14:paraId="0044B308" w14:textId="77777777" w:rsidTr="00063B03">
        <w:trPr>
          <w:trHeight w:val="458"/>
        </w:trPr>
        <w:tc>
          <w:tcPr>
            <w:tcW w:w="1135" w:type="dxa"/>
            <w:vMerge w:val="restart"/>
            <w:tcBorders>
              <w:top w:val="single" w:sz="4" w:space="0" w:color="auto"/>
              <w:left w:val="single" w:sz="8" w:space="0" w:color="auto"/>
              <w:right w:val="single" w:sz="8" w:space="0" w:color="auto"/>
            </w:tcBorders>
            <w:shd w:val="clear" w:color="000000" w:fill="FAC090"/>
            <w:vAlign w:val="center"/>
          </w:tcPr>
          <w:p w14:paraId="301DF872" w14:textId="77777777" w:rsidR="00C57C51" w:rsidRPr="00D10DC0" w:rsidRDefault="00C57C51" w:rsidP="003E3F8D">
            <w:pPr>
              <w:spacing w:after="0" w:line="240" w:lineRule="auto"/>
              <w:jc w:val="center"/>
              <w:rPr>
                <w:rFonts w:ascii="Cambria" w:hAnsi="Cambria" w:cstheme="minorHAnsi"/>
                <w:b/>
                <w:bCs/>
                <w:sz w:val="16"/>
                <w:szCs w:val="16"/>
              </w:rPr>
            </w:pPr>
            <w:r w:rsidRPr="00D10DC0">
              <w:rPr>
                <w:rFonts w:ascii="Cambria" w:hAnsi="Cambria" w:cstheme="minorHAnsi"/>
                <w:b/>
                <w:bCs/>
                <w:sz w:val="16"/>
                <w:szCs w:val="16"/>
              </w:rPr>
              <w:t>Класификационен код</w:t>
            </w:r>
          </w:p>
        </w:tc>
        <w:tc>
          <w:tcPr>
            <w:tcW w:w="1275" w:type="dxa"/>
            <w:vMerge w:val="restart"/>
            <w:tcBorders>
              <w:top w:val="single" w:sz="4" w:space="0" w:color="auto"/>
              <w:left w:val="nil"/>
              <w:right w:val="nil"/>
            </w:tcBorders>
            <w:shd w:val="clear" w:color="000000" w:fill="FAC090"/>
            <w:vAlign w:val="center"/>
          </w:tcPr>
          <w:p w14:paraId="08D1071B" w14:textId="77777777" w:rsidR="00C57C51" w:rsidRPr="00D10DC0" w:rsidRDefault="00C57C51" w:rsidP="003E3F8D">
            <w:pPr>
              <w:spacing w:after="0" w:line="240" w:lineRule="auto"/>
              <w:jc w:val="center"/>
              <w:rPr>
                <w:rFonts w:ascii="Cambria" w:hAnsi="Cambria" w:cstheme="minorHAnsi"/>
                <w:b/>
                <w:bCs/>
                <w:sz w:val="16"/>
                <w:szCs w:val="16"/>
              </w:rPr>
            </w:pPr>
            <w:r w:rsidRPr="00D10DC0">
              <w:rPr>
                <w:rFonts w:ascii="Cambria" w:hAnsi="Cambria" w:cstheme="minorHAnsi"/>
                <w:b/>
                <w:bCs/>
                <w:sz w:val="16"/>
                <w:szCs w:val="16"/>
              </w:rPr>
              <w:t>ОБЛАСТИ НА ПОЛИТИКИ И                              БЮДЖЕТНИ ПРОГРАМИ</w:t>
            </w:r>
          </w:p>
        </w:tc>
        <w:tc>
          <w:tcPr>
            <w:tcW w:w="1015" w:type="dxa"/>
            <w:vMerge w:val="restart"/>
            <w:tcBorders>
              <w:top w:val="single" w:sz="4" w:space="0" w:color="auto"/>
              <w:left w:val="single" w:sz="8" w:space="0" w:color="auto"/>
              <w:right w:val="single" w:sz="8" w:space="0" w:color="000000"/>
            </w:tcBorders>
            <w:shd w:val="clear" w:color="000000" w:fill="FAC090"/>
            <w:vAlign w:val="center"/>
          </w:tcPr>
          <w:p w14:paraId="560A5A8B" w14:textId="77777777" w:rsidR="00C57C51" w:rsidRPr="00D10DC0" w:rsidRDefault="00C57C51" w:rsidP="003E3F8D">
            <w:pPr>
              <w:spacing w:after="0" w:line="240" w:lineRule="auto"/>
              <w:jc w:val="center"/>
              <w:rPr>
                <w:rFonts w:ascii="Cambria" w:hAnsi="Cambria" w:cstheme="minorHAnsi"/>
                <w:b/>
                <w:bCs/>
                <w:sz w:val="16"/>
                <w:szCs w:val="16"/>
              </w:rPr>
            </w:pPr>
            <w:r w:rsidRPr="00D10DC0">
              <w:rPr>
                <w:rFonts w:ascii="Cambria" w:hAnsi="Cambria" w:cstheme="minorHAnsi"/>
                <w:b/>
                <w:bCs/>
                <w:sz w:val="16"/>
                <w:szCs w:val="16"/>
              </w:rPr>
              <w:t>Закон</w:t>
            </w:r>
          </w:p>
        </w:tc>
        <w:tc>
          <w:tcPr>
            <w:tcW w:w="1022" w:type="dxa"/>
            <w:vMerge w:val="restart"/>
            <w:tcBorders>
              <w:top w:val="single" w:sz="4" w:space="0" w:color="auto"/>
              <w:left w:val="single" w:sz="8" w:space="0" w:color="auto"/>
              <w:right w:val="single" w:sz="8" w:space="0" w:color="000000"/>
            </w:tcBorders>
            <w:shd w:val="clear" w:color="000000" w:fill="FAC090"/>
            <w:vAlign w:val="center"/>
          </w:tcPr>
          <w:p w14:paraId="66406820" w14:textId="77777777" w:rsidR="00C57C51" w:rsidRPr="00D10DC0" w:rsidRDefault="00C57C51" w:rsidP="003E3F8D">
            <w:pPr>
              <w:spacing w:after="0" w:line="240" w:lineRule="auto"/>
              <w:jc w:val="center"/>
              <w:rPr>
                <w:rFonts w:ascii="Cambria" w:hAnsi="Cambria" w:cstheme="minorHAnsi"/>
                <w:b/>
                <w:bCs/>
                <w:sz w:val="16"/>
                <w:szCs w:val="16"/>
              </w:rPr>
            </w:pPr>
            <w:r w:rsidRPr="00D10DC0">
              <w:rPr>
                <w:rFonts w:ascii="Cambria" w:hAnsi="Cambria" w:cstheme="minorHAnsi"/>
                <w:b/>
                <w:bCs/>
                <w:sz w:val="16"/>
                <w:szCs w:val="16"/>
              </w:rPr>
              <w:t>Уточнен план</w:t>
            </w:r>
          </w:p>
        </w:tc>
        <w:tc>
          <w:tcPr>
            <w:tcW w:w="6565" w:type="dxa"/>
            <w:gridSpan w:val="7"/>
            <w:tcBorders>
              <w:top w:val="single" w:sz="4" w:space="0" w:color="auto"/>
              <w:left w:val="single" w:sz="8" w:space="0" w:color="auto"/>
              <w:right w:val="single" w:sz="8" w:space="0" w:color="000000"/>
            </w:tcBorders>
            <w:shd w:val="clear" w:color="000000" w:fill="FAC090"/>
            <w:vAlign w:val="center"/>
          </w:tcPr>
          <w:p w14:paraId="4FE78777" w14:textId="77777777" w:rsidR="00C57C51" w:rsidRPr="00D10DC0" w:rsidRDefault="00C57C51" w:rsidP="003E3F8D">
            <w:pPr>
              <w:spacing w:after="0" w:line="240" w:lineRule="auto"/>
              <w:jc w:val="center"/>
              <w:rPr>
                <w:rFonts w:ascii="Cambria" w:hAnsi="Cambria" w:cstheme="minorHAnsi"/>
                <w:b/>
                <w:bCs/>
                <w:sz w:val="16"/>
                <w:szCs w:val="16"/>
              </w:rPr>
            </w:pPr>
            <w:r w:rsidRPr="00D10DC0">
              <w:rPr>
                <w:rFonts w:ascii="Cambria" w:hAnsi="Cambria" w:cstheme="minorHAnsi"/>
                <w:b/>
                <w:bCs/>
                <w:sz w:val="16"/>
                <w:szCs w:val="16"/>
              </w:rPr>
              <w:t>ОТЧЕТ</w:t>
            </w:r>
          </w:p>
        </w:tc>
      </w:tr>
      <w:tr w:rsidR="00D10DC0" w:rsidRPr="00D10DC0" w14:paraId="6B36150E" w14:textId="77777777" w:rsidTr="00D10DC0">
        <w:trPr>
          <w:trHeight w:val="823"/>
        </w:trPr>
        <w:tc>
          <w:tcPr>
            <w:tcW w:w="1135" w:type="dxa"/>
            <w:vMerge/>
            <w:tcBorders>
              <w:left w:val="single" w:sz="8" w:space="0" w:color="auto"/>
              <w:bottom w:val="nil"/>
              <w:right w:val="single" w:sz="8" w:space="0" w:color="auto"/>
            </w:tcBorders>
            <w:shd w:val="clear" w:color="000000" w:fill="FAC090"/>
            <w:vAlign w:val="center"/>
            <w:hideMark/>
          </w:tcPr>
          <w:p w14:paraId="6694E25E" w14:textId="77777777" w:rsidR="00C57C51" w:rsidRPr="00D10DC0" w:rsidRDefault="00C57C51" w:rsidP="003E3F8D">
            <w:pPr>
              <w:spacing w:after="0" w:line="240" w:lineRule="auto"/>
              <w:jc w:val="center"/>
              <w:rPr>
                <w:rFonts w:ascii="Cambria" w:hAnsi="Cambria" w:cstheme="minorHAnsi"/>
                <w:b/>
                <w:bCs/>
                <w:sz w:val="16"/>
                <w:szCs w:val="16"/>
              </w:rPr>
            </w:pPr>
          </w:p>
        </w:tc>
        <w:tc>
          <w:tcPr>
            <w:tcW w:w="1275" w:type="dxa"/>
            <w:vMerge/>
            <w:tcBorders>
              <w:left w:val="nil"/>
              <w:right w:val="nil"/>
            </w:tcBorders>
            <w:shd w:val="clear" w:color="000000" w:fill="FAC090"/>
            <w:vAlign w:val="center"/>
            <w:hideMark/>
          </w:tcPr>
          <w:p w14:paraId="78BD0D48" w14:textId="77777777" w:rsidR="00C57C51" w:rsidRPr="00D10DC0" w:rsidRDefault="00C57C51" w:rsidP="003E3F8D">
            <w:pPr>
              <w:spacing w:after="0" w:line="240" w:lineRule="auto"/>
              <w:jc w:val="center"/>
              <w:rPr>
                <w:rFonts w:ascii="Cambria" w:hAnsi="Cambria" w:cstheme="minorHAnsi"/>
                <w:b/>
                <w:bCs/>
                <w:sz w:val="16"/>
                <w:szCs w:val="16"/>
              </w:rPr>
            </w:pPr>
          </w:p>
        </w:tc>
        <w:tc>
          <w:tcPr>
            <w:tcW w:w="1015" w:type="dxa"/>
            <w:vMerge/>
            <w:tcBorders>
              <w:left w:val="single" w:sz="8" w:space="0" w:color="auto"/>
              <w:right w:val="single" w:sz="8" w:space="0" w:color="000000"/>
            </w:tcBorders>
            <w:shd w:val="clear" w:color="000000" w:fill="FAC090"/>
            <w:vAlign w:val="center"/>
          </w:tcPr>
          <w:p w14:paraId="07B38948" w14:textId="77777777" w:rsidR="00C57C51" w:rsidRPr="00D10DC0" w:rsidRDefault="00C57C51" w:rsidP="003E3F8D">
            <w:pPr>
              <w:spacing w:after="0" w:line="240" w:lineRule="auto"/>
              <w:jc w:val="center"/>
              <w:rPr>
                <w:rFonts w:ascii="Cambria" w:hAnsi="Cambria" w:cstheme="minorHAnsi"/>
                <w:b/>
                <w:bCs/>
                <w:sz w:val="16"/>
                <w:szCs w:val="16"/>
              </w:rPr>
            </w:pPr>
          </w:p>
        </w:tc>
        <w:tc>
          <w:tcPr>
            <w:tcW w:w="1022" w:type="dxa"/>
            <w:vMerge/>
            <w:tcBorders>
              <w:left w:val="single" w:sz="8" w:space="0" w:color="auto"/>
              <w:right w:val="single" w:sz="8" w:space="0" w:color="000000"/>
            </w:tcBorders>
            <w:shd w:val="clear" w:color="000000" w:fill="FAC090"/>
            <w:vAlign w:val="center"/>
          </w:tcPr>
          <w:p w14:paraId="0DA64808" w14:textId="77777777" w:rsidR="00C57C51" w:rsidRPr="00D10DC0" w:rsidRDefault="00C57C51" w:rsidP="003E3F8D">
            <w:pPr>
              <w:spacing w:after="0" w:line="240" w:lineRule="auto"/>
              <w:jc w:val="center"/>
              <w:rPr>
                <w:rFonts w:ascii="Cambria" w:hAnsi="Cambria" w:cstheme="minorHAnsi"/>
                <w:b/>
                <w:bCs/>
                <w:sz w:val="16"/>
                <w:szCs w:val="16"/>
              </w:rPr>
            </w:pPr>
          </w:p>
        </w:tc>
        <w:tc>
          <w:tcPr>
            <w:tcW w:w="1022" w:type="dxa"/>
            <w:vMerge w:val="restart"/>
            <w:tcBorders>
              <w:top w:val="single" w:sz="4" w:space="0" w:color="auto"/>
              <w:left w:val="single" w:sz="8" w:space="0" w:color="auto"/>
              <w:right w:val="single" w:sz="8" w:space="0" w:color="000000"/>
            </w:tcBorders>
            <w:shd w:val="clear" w:color="000000" w:fill="FAC090"/>
            <w:vAlign w:val="center"/>
            <w:hideMark/>
          </w:tcPr>
          <w:p w14:paraId="3F260936" w14:textId="77777777" w:rsidR="00C57C51" w:rsidRPr="00D10DC0" w:rsidRDefault="00C57C51" w:rsidP="003E3F8D">
            <w:pPr>
              <w:spacing w:after="0" w:line="240" w:lineRule="auto"/>
              <w:jc w:val="center"/>
              <w:rPr>
                <w:rFonts w:ascii="Cambria" w:hAnsi="Cambria" w:cstheme="minorHAnsi"/>
                <w:b/>
                <w:bCs/>
                <w:sz w:val="16"/>
                <w:szCs w:val="16"/>
              </w:rPr>
            </w:pPr>
            <w:r w:rsidRPr="00D10DC0">
              <w:rPr>
                <w:rFonts w:ascii="Cambria" w:hAnsi="Cambria" w:cstheme="minorHAnsi"/>
                <w:b/>
                <w:bCs/>
                <w:sz w:val="16"/>
                <w:szCs w:val="16"/>
              </w:rPr>
              <w:t>Общо консолидирани разходи</w:t>
            </w:r>
          </w:p>
          <w:p w14:paraId="313C4033" w14:textId="77777777" w:rsidR="00C57C51" w:rsidRPr="00D10DC0" w:rsidRDefault="00C57C51" w:rsidP="003E3F8D">
            <w:pPr>
              <w:spacing w:after="0" w:line="240" w:lineRule="auto"/>
              <w:jc w:val="center"/>
              <w:rPr>
                <w:rFonts w:ascii="Cambria" w:hAnsi="Cambria" w:cstheme="minorHAnsi"/>
                <w:b/>
                <w:bCs/>
                <w:sz w:val="16"/>
                <w:szCs w:val="16"/>
              </w:rPr>
            </w:pPr>
          </w:p>
          <w:p w14:paraId="6F77A75C" w14:textId="77777777" w:rsidR="00C57C51" w:rsidRPr="00D10DC0" w:rsidRDefault="00C57C51" w:rsidP="003E3F8D">
            <w:pPr>
              <w:spacing w:after="0" w:line="240" w:lineRule="auto"/>
              <w:jc w:val="center"/>
              <w:rPr>
                <w:rFonts w:ascii="Cambria" w:hAnsi="Cambria" w:cstheme="minorHAnsi"/>
                <w:b/>
                <w:bCs/>
                <w:sz w:val="16"/>
                <w:szCs w:val="16"/>
              </w:rPr>
            </w:pPr>
          </w:p>
        </w:tc>
        <w:tc>
          <w:tcPr>
            <w:tcW w:w="2895" w:type="dxa"/>
            <w:gridSpan w:val="3"/>
            <w:tcBorders>
              <w:top w:val="single" w:sz="4" w:space="0" w:color="auto"/>
              <w:left w:val="single" w:sz="8" w:space="0" w:color="auto"/>
              <w:bottom w:val="single" w:sz="8" w:space="0" w:color="000000"/>
              <w:right w:val="single" w:sz="8" w:space="0" w:color="000000"/>
            </w:tcBorders>
            <w:shd w:val="clear" w:color="000000" w:fill="FAC090"/>
            <w:vAlign w:val="center"/>
            <w:hideMark/>
          </w:tcPr>
          <w:p w14:paraId="5C5C7586" w14:textId="77777777" w:rsidR="00C57C51" w:rsidRPr="00D10DC0" w:rsidRDefault="00C57C51" w:rsidP="003E3F8D">
            <w:pPr>
              <w:spacing w:after="0" w:line="240" w:lineRule="auto"/>
              <w:jc w:val="center"/>
              <w:rPr>
                <w:rFonts w:ascii="Cambria" w:hAnsi="Cambria" w:cstheme="minorHAnsi"/>
                <w:b/>
                <w:bCs/>
                <w:sz w:val="16"/>
                <w:szCs w:val="16"/>
              </w:rPr>
            </w:pPr>
            <w:r w:rsidRPr="00D10DC0">
              <w:rPr>
                <w:rFonts w:ascii="Cambria" w:hAnsi="Cambria" w:cstheme="minorHAnsi"/>
                <w:b/>
                <w:bCs/>
                <w:sz w:val="16"/>
                <w:szCs w:val="16"/>
              </w:rPr>
              <w:t>Ведомствени разходи</w:t>
            </w:r>
          </w:p>
        </w:tc>
        <w:tc>
          <w:tcPr>
            <w:tcW w:w="2648" w:type="dxa"/>
            <w:gridSpan w:val="3"/>
            <w:tcBorders>
              <w:top w:val="single" w:sz="8" w:space="0" w:color="000000"/>
              <w:left w:val="single" w:sz="8" w:space="0" w:color="000000"/>
              <w:bottom w:val="single" w:sz="8" w:space="0" w:color="000000"/>
              <w:right w:val="single" w:sz="8" w:space="0" w:color="000000"/>
            </w:tcBorders>
            <w:shd w:val="clear" w:color="000000" w:fill="FAC090"/>
            <w:vAlign w:val="center"/>
            <w:hideMark/>
          </w:tcPr>
          <w:p w14:paraId="62156E51" w14:textId="77777777" w:rsidR="00C57C51" w:rsidRPr="00D10DC0" w:rsidRDefault="00C57C51" w:rsidP="003E3F8D">
            <w:pPr>
              <w:spacing w:after="0" w:line="240" w:lineRule="auto"/>
              <w:jc w:val="center"/>
              <w:rPr>
                <w:rFonts w:ascii="Cambria" w:hAnsi="Cambria" w:cstheme="minorHAnsi"/>
                <w:b/>
                <w:bCs/>
                <w:sz w:val="16"/>
                <w:szCs w:val="16"/>
              </w:rPr>
            </w:pPr>
            <w:r w:rsidRPr="00D10DC0">
              <w:rPr>
                <w:rFonts w:ascii="Cambria" w:hAnsi="Cambria" w:cstheme="minorHAnsi"/>
                <w:b/>
                <w:bCs/>
                <w:sz w:val="16"/>
                <w:szCs w:val="16"/>
              </w:rPr>
              <w:t>Администрирани разходи</w:t>
            </w:r>
          </w:p>
        </w:tc>
      </w:tr>
      <w:tr w:rsidR="00D10DC0" w:rsidRPr="00D10DC0" w14:paraId="3AF2D176" w14:textId="77777777" w:rsidTr="00D10DC0">
        <w:trPr>
          <w:trHeight w:val="1905"/>
        </w:trPr>
        <w:tc>
          <w:tcPr>
            <w:tcW w:w="1135" w:type="dxa"/>
            <w:tcBorders>
              <w:top w:val="nil"/>
              <w:left w:val="single" w:sz="8" w:space="0" w:color="auto"/>
              <w:bottom w:val="single" w:sz="8" w:space="0" w:color="auto"/>
              <w:right w:val="nil"/>
            </w:tcBorders>
            <w:shd w:val="clear" w:color="000000" w:fill="FAC090"/>
            <w:vAlign w:val="center"/>
            <w:hideMark/>
          </w:tcPr>
          <w:p w14:paraId="14D2AF0D" w14:textId="77777777" w:rsidR="00C57C51" w:rsidRPr="00D10DC0" w:rsidRDefault="00C57C51" w:rsidP="003E3F8D">
            <w:pPr>
              <w:spacing w:after="0" w:line="240" w:lineRule="auto"/>
              <w:jc w:val="center"/>
              <w:rPr>
                <w:rFonts w:ascii="Cambria" w:hAnsi="Cambria" w:cstheme="minorHAnsi"/>
                <w:b/>
                <w:bCs/>
                <w:sz w:val="16"/>
                <w:szCs w:val="16"/>
              </w:rPr>
            </w:pPr>
            <w:r w:rsidRPr="00D10DC0">
              <w:rPr>
                <w:rFonts w:ascii="Cambria" w:hAnsi="Cambria" w:cstheme="minorHAnsi"/>
                <w:b/>
                <w:bCs/>
                <w:sz w:val="16"/>
                <w:szCs w:val="16"/>
              </w:rPr>
              <w:t> </w:t>
            </w:r>
          </w:p>
        </w:tc>
        <w:tc>
          <w:tcPr>
            <w:tcW w:w="1275" w:type="dxa"/>
            <w:tcBorders>
              <w:top w:val="nil"/>
              <w:left w:val="single" w:sz="8" w:space="0" w:color="auto"/>
              <w:bottom w:val="single" w:sz="8" w:space="0" w:color="auto"/>
              <w:right w:val="nil"/>
            </w:tcBorders>
            <w:shd w:val="clear" w:color="000000" w:fill="FAC090"/>
            <w:vAlign w:val="center"/>
            <w:hideMark/>
          </w:tcPr>
          <w:p w14:paraId="71924E07" w14:textId="77777777" w:rsidR="00C57C51" w:rsidRPr="00D10DC0" w:rsidRDefault="00C57C51" w:rsidP="003E3F8D">
            <w:pPr>
              <w:spacing w:after="0" w:line="240" w:lineRule="auto"/>
              <w:jc w:val="center"/>
              <w:rPr>
                <w:rFonts w:ascii="Cambria" w:hAnsi="Cambria" w:cstheme="minorHAnsi"/>
                <w:b/>
                <w:bCs/>
                <w:sz w:val="16"/>
                <w:szCs w:val="16"/>
              </w:rPr>
            </w:pPr>
            <w:r w:rsidRPr="00D10DC0">
              <w:rPr>
                <w:rFonts w:ascii="Cambria" w:hAnsi="Cambria" w:cstheme="minorHAnsi"/>
                <w:b/>
                <w:bCs/>
                <w:sz w:val="16"/>
                <w:szCs w:val="16"/>
              </w:rPr>
              <w:t>(в хил. лв.)</w:t>
            </w:r>
          </w:p>
        </w:tc>
        <w:tc>
          <w:tcPr>
            <w:tcW w:w="1015" w:type="dxa"/>
            <w:vMerge/>
            <w:tcBorders>
              <w:left w:val="single" w:sz="8" w:space="0" w:color="auto"/>
              <w:bottom w:val="single" w:sz="8" w:space="0" w:color="auto"/>
              <w:right w:val="single" w:sz="8" w:space="0" w:color="auto"/>
            </w:tcBorders>
            <w:shd w:val="clear" w:color="auto" w:fill="FABF8F" w:themeFill="accent6" w:themeFillTint="99"/>
          </w:tcPr>
          <w:p w14:paraId="14C84740" w14:textId="77777777" w:rsidR="00C57C51" w:rsidRPr="00D10DC0" w:rsidRDefault="00C57C51" w:rsidP="003E3F8D">
            <w:pPr>
              <w:spacing w:after="0" w:line="240" w:lineRule="auto"/>
              <w:jc w:val="center"/>
              <w:rPr>
                <w:rFonts w:ascii="Cambria" w:hAnsi="Cambria" w:cstheme="minorHAnsi"/>
                <w:sz w:val="16"/>
                <w:szCs w:val="16"/>
              </w:rPr>
            </w:pPr>
          </w:p>
        </w:tc>
        <w:tc>
          <w:tcPr>
            <w:tcW w:w="1022" w:type="dxa"/>
            <w:vMerge/>
            <w:tcBorders>
              <w:left w:val="single" w:sz="8" w:space="0" w:color="auto"/>
              <w:bottom w:val="single" w:sz="8" w:space="0" w:color="auto"/>
              <w:right w:val="single" w:sz="8" w:space="0" w:color="000000"/>
            </w:tcBorders>
            <w:shd w:val="clear" w:color="000000" w:fill="FAC090"/>
          </w:tcPr>
          <w:p w14:paraId="62621A85" w14:textId="77777777" w:rsidR="00C57C51" w:rsidRPr="00D10DC0" w:rsidRDefault="00C57C51" w:rsidP="003E3F8D">
            <w:pPr>
              <w:spacing w:after="0" w:line="240" w:lineRule="auto"/>
              <w:jc w:val="center"/>
              <w:rPr>
                <w:rFonts w:ascii="Cambria" w:hAnsi="Cambria" w:cstheme="minorHAnsi"/>
                <w:sz w:val="16"/>
                <w:szCs w:val="16"/>
              </w:rPr>
            </w:pPr>
          </w:p>
        </w:tc>
        <w:tc>
          <w:tcPr>
            <w:tcW w:w="1022" w:type="dxa"/>
            <w:vMerge/>
            <w:tcBorders>
              <w:left w:val="single" w:sz="8" w:space="0" w:color="000000"/>
              <w:bottom w:val="single" w:sz="8" w:space="0" w:color="auto"/>
              <w:right w:val="single" w:sz="8" w:space="0" w:color="000000"/>
            </w:tcBorders>
            <w:shd w:val="clear" w:color="000000" w:fill="FAC090"/>
            <w:vAlign w:val="center"/>
          </w:tcPr>
          <w:p w14:paraId="68A049F7" w14:textId="77777777" w:rsidR="00C57C51" w:rsidRPr="00D10DC0" w:rsidRDefault="00C57C51" w:rsidP="003E3F8D">
            <w:pPr>
              <w:spacing w:after="0" w:line="240" w:lineRule="auto"/>
              <w:jc w:val="center"/>
              <w:rPr>
                <w:rFonts w:ascii="Cambria" w:hAnsi="Cambria" w:cstheme="minorHAnsi"/>
                <w:sz w:val="16"/>
                <w:szCs w:val="16"/>
              </w:rPr>
            </w:pPr>
          </w:p>
        </w:tc>
        <w:tc>
          <w:tcPr>
            <w:tcW w:w="1021" w:type="dxa"/>
            <w:tcBorders>
              <w:top w:val="single" w:sz="8" w:space="0" w:color="000000"/>
              <w:left w:val="single" w:sz="8" w:space="0" w:color="000000"/>
              <w:bottom w:val="single" w:sz="8" w:space="0" w:color="auto"/>
              <w:right w:val="single" w:sz="8" w:space="0" w:color="auto"/>
            </w:tcBorders>
            <w:shd w:val="clear" w:color="000000" w:fill="FAC090"/>
            <w:vAlign w:val="center"/>
            <w:hideMark/>
          </w:tcPr>
          <w:p w14:paraId="684266EA" w14:textId="77777777" w:rsidR="00C57C51" w:rsidRPr="00D10DC0" w:rsidRDefault="00C57C51" w:rsidP="003E3F8D">
            <w:pPr>
              <w:spacing w:after="0" w:line="240" w:lineRule="auto"/>
              <w:jc w:val="center"/>
              <w:rPr>
                <w:rFonts w:ascii="Cambria" w:hAnsi="Cambria" w:cstheme="minorHAnsi"/>
                <w:sz w:val="16"/>
                <w:szCs w:val="16"/>
              </w:rPr>
            </w:pPr>
            <w:r w:rsidRPr="00D10DC0">
              <w:rPr>
                <w:rFonts w:ascii="Cambria" w:hAnsi="Cambria" w:cstheme="minorHAnsi"/>
                <w:sz w:val="16"/>
                <w:szCs w:val="16"/>
              </w:rPr>
              <w:t>Общо разходи</w:t>
            </w:r>
          </w:p>
        </w:tc>
        <w:tc>
          <w:tcPr>
            <w:tcW w:w="1023" w:type="dxa"/>
            <w:tcBorders>
              <w:top w:val="single" w:sz="8" w:space="0" w:color="000000"/>
              <w:left w:val="nil"/>
              <w:bottom w:val="single" w:sz="8" w:space="0" w:color="auto"/>
              <w:right w:val="single" w:sz="8" w:space="0" w:color="auto"/>
            </w:tcBorders>
            <w:shd w:val="clear" w:color="000000" w:fill="FDE9D9"/>
            <w:vAlign w:val="center"/>
            <w:hideMark/>
          </w:tcPr>
          <w:p w14:paraId="56730535" w14:textId="77777777" w:rsidR="00C57C51" w:rsidRPr="00D10DC0" w:rsidRDefault="00C57C51" w:rsidP="003E3F8D">
            <w:pPr>
              <w:spacing w:after="0" w:line="240" w:lineRule="auto"/>
              <w:jc w:val="center"/>
              <w:rPr>
                <w:rFonts w:ascii="Cambria" w:hAnsi="Cambria" w:cstheme="minorHAnsi"/>
                <w:i/>
                <w:iCs/>
                <w:sz w:val="16"/>
                <w:szCs w:val="16"/>
              </w:rPr>
            </w:pPr>
            <w:r w:rsidRPr="00D10DC0">
              <w:rPr>
                <w:rFonts w:ascii="Cambria" w:hAnsi="Cambria" w:cstheme="minorHAnsi"/>
                <w:i/>
                <w:iCs/>
                <w:sz w:val="16"/>
                <w:szCs w:val="16"/>
              </w:rPr>
              <w:t>По бюджета на ПРБ</w:t>
            </w:r>
          </w:p>
        </w:tc>
        <w:tc>
          <w:tcPr>
            <w:tcW w:w="851" w:type="dxa"/>
            <w:tcBorders>
              <w:top w:val="single" w:sz="8" w:space="0" w:color="000000"/>
              <w:left w:val="nil"/>
              <w:bottom w:val="single" w:sz="8" w:space="0" w:color="auto"/>
              <w:right w:val="single" w:sz="8" w:space="0" w:color="auto"/>
            </w:tcBorders>
            <w:shd w:val="clear" w:color="000000" w:fill="FAC090"/>
            <w:vAlign w:val="center"/>
            <w:hideMark/>
          </w:tcPr>
          <w:p w14:paraId="159BB92B" w14:textId="77777777" w:rsidR="00C57C51" w:rsidRPr="00D10DC0" w:rsidRDefault="00C57C51" w:rsidP="003E3F8D">
            <w:pPr>
              <w:spacing w:after="0" w:line="240" w:lineRule="auto"/>
              <w:jc w:val="center"/>
              <w:rPr>
                <w:rFonts w:ascii="Cambria" w:hAnsi="Cambria" w:cstheme="minorHAnsi"/>
                <w:i/>
                <w:iCs/>
                <w:sz w:val="16"/>
                <w:szCs w:val="16"/>
              </w:rPr>
            </w:pPr>
            <w:r w:rsidRPr="00D10DC0">
              <w:rPr>
                <w:rFonts w:ascii="Cambria" w:hAnsi="Cambria" w:cstheme="minorHAnsi"/>
                <w:i/>
                <w:iCs/>
                <w:sz w:val="16"/>
                <w:szCs w:val="16"/>
              </w:rPr>
              <w:t>По други бюджети и сметки за средства от ЕС</w:t>
            </w:r>
          </w:p>
        </w:tc>
        <w:tc>
          <w:tcPr>
            <w:tcW w:w="786" w:type="dxa"/>
            <w:tcBorders>
              <w:top w:val="single" w:sz="8" w:space="0" w:color="000000"/>
              <w:left w:val="single" w:sz="8" w:space="0" w:color="auto"/>
              <w:bottom w:val="single" w:sz="8" w:space="0" w:color="auto"/>
              <w:right w:val="single" w:sz="8" w:space="0" w:color="auto"/>
            </w:tcBorders>
            <w:shd w:val="clear" w:color="000000" w:fill="FAC090"/>
            <w:vAlign w:val="center"/>
          </w:tcPr>
          <w:p w14:paraId="121B6437" w14:textId="77777777" w:rsidR="00C57C51" w:rsidRPr="00D10DC0" w:rsidRDefault="00C57C51" w:rsidP="003E3F8D">
            <w:pPr>
              <w:spacing w:after="0" w:line="240" w:lineRule="auto"/>
              <w:jc w:val="center"/>
              <w:rPr>
                <w:rFonts w:ascii="Cambria" w:hAnsi="Cambria" w:cstheme="minorHAnsi"/>
                <w:sz w:val="16"/>
                <w:szCs w:val="16"/>
              </w:rPr>
            </w:pPr>
            <w:r w:rsidRPr="00D10DC0">
              <w:rPr>
                <w:rFonts w:ascii="Cambria" w:hAnsi="Cambria" w:cstheme="minorHAnsi"/>
                <w:sz w:val="16"/>
                <w:szCs w:val="16"/>
              </w:rPr>
              <w:t>Общо разходи</w:t>
            </w:r>
          </w:p>
        </w:tc>
        <w:tc>
          <w:tcPr>
            <w:tcW w:w="924" w:type="dxa"/>
            <w:tcBorders>
              <w:top w:val="single" w:sz="8" w:space="0" w:color="000000"/>
              <w:left w:val="nil"/>
              <w:bottom w:val="single" w:sz="8" w:space="0" w:color="auto"/>
              <w:right w:val="single" w:sz="8" w:space="0" w:color="auto"/>
            </w:tcBorders>
            <w:shd w:val="clear" w:color="000000" w:fill="FDE9D9"/>
            <w:vAlign w:val="center"/>
          </w:tcPr>
          <w:p w14:paraId="3FE0514C" w14:textId="77777777" w:rsidR="00C57C51" w:rsidRPr="00D10DC0" w:rsidRDefault="00C57C51" w:rsidP="003E3F8D">
            <w:pPr>
              <w:spacing w:after="0" w:line="240" w:lineRule="auto"/>
              <w:jc w:val="center"/>
              <w:rPr>
                <w:rFonts w:ascii="Cambria" w:hAnsi="Cambria" w:cstheme="minorHAnsi"/>
                <w:i/>
                <w:iCs/>
                <w:sz w:val="16"/>
                <w:szCs w:val="16"/>
              </w:rPr>
            </w:pPr>
            <w:r w:rsidRPr="00D10DC0">
              <w:rPr>
                <w:rFonts w:ascii="Cambria" w:hAnsi="Cambria" w:cstheme="minorHAnsi"/>
                <w:i/>
                <w:iCs/>
                <w:sz w:val="16"/>
                <w:szCs w:val="16"/>
              </w:rPr>
              <w:t>По бюджета на ПРБ</w:t>
            </w:r>
          </w:p>
        </w:tc>
        <w:tc>
          <w:tcPr>
            <w:tcW w:w="938" w:type="dxa"/>
            <w:tcBorders>
              <w:top w:val="single" w:sz="8" w:space="0" w:color="000000"/>
              <w:left w:val="nil"/>
              <w:bottom w:val="single" w:sz="8" w:space="0" w:color="auto"/>
              <w:right w:val="single" w:sz="8" w:space="0" w:color="auto"/>
            </w:tcBorders>
            <w:shd w:val="clear" w:color="000000" w:fill="FAC090"/>
            <w:vAlign w:val="center"/>
          </w:tcPr>
          <w:p w14:paraId="1B9B96BF" w14:textId="77777777" w:rsidR="00C57C51" w:rsidRPr="00D10DC0" w:rsidRDefault="00C57C51" w:rsidP="003E3F8D">
            <w:pPr>
              <w:spacing w:after="0" w:line="240" w:lineRule="auto"/>
              <w:jc w:val="center"/>
              <w:rPr>
                <w:rFonts w:ascii="Cambria" w:hAnsi="Cambria" w:cstheme="minorHAnsi"/>
                <w:i/>
                <w:iCs/>
                <w:sz w:val="16"/>
                <w:szCs w:val="16"/>
              </w:rPr>
            </w:pPr>
            <w:r w:rsidRPr="00D10DC0">
              <w:rPr>
                <w:rFonts w:ascii="Cambria" w:hAnsi="Cambria" w:cstheme="minorHAnsi"/>
                <w:i/>
                <w:iCs/>
                <w:sz w:val="16"/>
                <w:szCs w:val="16"/>
              </w:rPr>
              <w:t>По други бюджети и сметки за средства от ЕС</w:t>
            </w:r>
          </w:p>
        </w:tc>
      </w:tr>
      <w:tr w:rsidR="00D10DC0" w:rsidRPr="00D10DC0" w14:paraId="003DC78A" w14:textId="77777777" w:rsidTr="00D10DC0">
        <w:trPr>
          <w:trHeight w:val="330"/>
        </w:trPr>
        <w:tc>
          <w:tcPr>
            <w:tcW w:w="1135" w:type="dxa"/>
            <w:tcBorders>
              <w:top w:val="nil"/>
              <w:left w:val="single" w:sz="8" w:space="0" w:color="auto"/>
              <w:bottom w:val="single" w:sz="8" w:space="0" w:color="auto"/>
              <w:right w:val="nil"/>
            </w:tcBorders>
            <w:shd w:val="clear" w:color="auto" w:fill="auto"/>
            <w:vAlign w:val="center"/>
            <w:hideMark/>
          </w:tcPr>
          <w:p w14:paraId="105A7EED" w14:textId="77777777" w:rsidR="00157D1C" w:rsidRPr="00D10DC0" w:rsidRDefault="00157D1C" w:rsidP="00157D1C">
            <w:pPr>
              <w:spacing w:after="0" w:line="240" w:lineRule="auto"/>
              <w:jc w:val="both"/>
              <w:rPr>
                <w:rFonts w:ascii="Cambria" w:hAnsi="Cambria" w:cstheme="minorHAnsi"/>
                <w:b/>
                <w:bCs/>
                <w:sz w:val="16"/>
                <w:szCs w:val="16"/>
              </w:rPr>
            </w:pPr>
            <w:r w:rsidRPr="00D10DC0">
              <w:rPr>
                <w:rFonts w:ascii="Cambria" w:hAnsi="Cambria" w:cstheme="minorHAnsi"/>
                <w:b/>
                <w:bCs/>
                <w:sz w:val="16"/>
                <w:szCs w:val="16"/>
              </w:rPr>
              <w:t>1100.00.00</w:t>
            </w:r>
          </w:p>
        </w:tc>
        <w:tc>
          <w:tcPr>
            <w:tcW w:w="1275" w:type="dxa"/>
            <w:tcBorders>
              <w:top w:val="nil"/>
              <w:left w:val="single" w:sz="8" w:space="0" w:color="auto"/>
              <w:bottom w:val="single" w:sz="8" w:space="0" w:color="auto"/>
              <w:right w:val="single" w:sz="4" w:space="0" w:color="auto"/>
            </w:tcBorders>
            <w:shd w:val="clear" w:color="auto" w:fill="auto"/>
            <w:vAlign w:val="center"/>
            <w:hideMark/>
          </w:tcPr>
          <w:p w14:paraId="7AC40284" w14:textId="77777777" w:rsidR="00157D1C" w:rsidRPr="00D10DC0" w:rsidRDefault="00157D1C" w:rsidP="00157D1C">
            <w:pPr>
              <w:spacing w:after="0" w:line="240" w:lineRule="auto"/>
              <w:jc w:val="both"/>
              <w:rPr>
                <w:rFonts w:ascii="Cambria" w:hAnsi="Cambria" w:cstheme="minorHAnsi"/>
                <w:b/>
                <w:bCs/>
                <w:sz w:val="16"/>
                <w:szCs w:val="16"/>
              </w:rPr>
            </w:pPr>
            <w:r w:rsidRPr="00D10DC0">
              <w:rPr>
                <w:rFonts w:ascii="Cambria" w:hAnsi="Cambria" w:cstheme="minorHAnsi"/>
                <w:b/>
                <w:bCs/>
                <w:sz w:val="16"/>
                <w:szCs w:val="16"/>
              </w:rPr>
              <w:t>Общо разходи</w:t>
            </w:r>
          </w:p>
        </w:tc>
        <w:tc>
          <w:tcPr>
            <w:tcW w:w="1015" w:type="dxa"/>
            <w:tcBorders>
              <w:top w:val="nil"/>
              <w:left w:val="single" w:sz="4" w:space="0" w:color="auto"/>
              <w:bottom w:val="single" w:sz="8" w:space="0" w:color="auto"/>
              <w:right w:val="single" w:sz="8" w:space="0" w:color="auto"/>
            </w:tcBorders>
            <w:shd w:val="clear" w:color="auto" w:fill="auto"/>
          </w:tcPr>
          <w:p w14:paraId="4CA1798A" w14:textId="4B031418" w:rsidR="00157D1C" w:rsidRPr="00D10DC0" w:rsidRDefault="002F752F" w:rsidP="00157D1C">
            <w:pPr>
              <w:jc w:val="right"/>
              <w:rPr>
                <w:rFonts w:ascii="Cambria" w:hAnsi="Cambria" w:cstheme="minorHAnsi"/>
                <w:sz w:val="16"/>
                <w:szCs w:val="16"/>
              </w:rPr>
            </w:pPr>
            <w:r w:rsidRPr="00D10DC0">
              <w:rPr>
                <w:rFonts w:ascii="Cambria" w:hAnsi="Cambria" w:cstheme="minorHAnsi"/>
                <w:sz w:val="16"/>
                <w:szCs w:val="16"/>
              </w:rPr>
              <w:t>150 557,9</w:t>
            </w:r>
          </w:p>
        </w:tc>
        <w:tc>
          <w:tcPr>
            <w:tcW w:w="1022" w:type="dxa"/>
            <w:tcBorders>
              <w:top w:val="nil"/>
              <w:left w:val="nil"/>
              <w:bottom w:val="single" w:sz="8" w:space="0" w:color="auto"/>
              <w:right w:val="single" w:sz="8" w:space="0" w:color="auto"/>
            </w:tcBorders>
            <w:shd w:val="clear" w:color="auto" w:fill="auto"/>
          </w:tcPr>
          <w:p w14:paraId="69C07913" w14:textId="358D8D0D" w:rsidR="00157D1C" w:rsidRPr="00D10DC0" w:rsidRDefault="008B4F81" w:rsidP="008B4F81">
            <w:pPr>
              <w:jc w:val="right"/>
              <w:rPr>
                <w:rFonts w:ascii="Cambria" w:hAnsi="Cambria" w:cstheme="minorHAnsi"/>
                <w:sz w:val="16"/>
                <w:szCs w:val="16"/>
              </w:rPr>
            </w:pPr>
            <w:r w:rsidRPr="00D10DC0">
              <w:rPr>
                <w:rFonts w:ascii="Cambria" w:hAnsi="Cambria" w:cstheme="minorHAnsi"/>
                <w:sz w:val="16"/>
                <w:szCs w:val="16"/>
              </w:rPr>
              <w:t>153 126,74,</w:t>
            </w:r>
          </w:p>
        </w:tc>
        <w:tc>
          <w:tcPr>
            <w:tcW w:w="1022" w:type="dxa"/>
            <w:tcBorders>
              <w:top w:val="nil"/>
              <w:left w:val="single" w:sz="8" w:space="0" w:color="auto"/>
              <w:bottom w:val="single" w:sz="8" w:space="0" w:color="auto"/>
              <w:right w:val="single" w:sz="8" w:space="0" w:color="auto"/>
            </w:tcBorders>
            <w:shd w:val="clear" w:color="auto" w:fill="auto"/>
          </w:tcPr>
          <w:p w14:paraId="17F1B4DB" w14:textId="249BDA31" w:rsidR="00157D1C" w:rsidRPr="00D10DC0" w:rsidRDefault="00D10DC0" w:rsidP="00157D1C">
            <w:pPr>
              <w:rPr>
                <w:rFonts w:ascii="Cambria" w:hAnsi="Cambria" w:cstheme="minorHAnsi"/>
                <w:sz w:val="16"/>
                <w:szCs w:val="16"/>
              </w:rPr>
            </w:pPr>
            <w:r w:rsidRPr="00D10DC0">
              <w:rPr>
                <w:rFonts w:ascii="Cambria" w:hAnsi="Cambria" w:cstheme="minorHAnsi"/>
                <w:sz w:val="16"/>
                <w:szCs w:val="16"/>
              </w:rPr>
              <w:t>72 048,25</w:t>
            </w:r>
          </w:p>
        </w:tc>
        <w:tc>
          <w:tcPr>
            <w:tcW w:w="1021" w:type="dxa"/>
            <w:tcBorders>
              <w:top w:val="nil"/>
              <w:left w:val="nil"/>
              <w:bottom w:val="single" w:sz="8" w:space="0" w:color="auto"/>
              <w:right w:val="single" w:sz="8" w:space="0" w:color="auto"/>
            </w:tcBorders>
            <w:shd w:val="clear" w:color="auto" w:fill="auto"/>
          </w:tcPr>
          <w:p w14:paraId="2EB3FF11" w14:textId="541D887F" w:rsidR="00157D1C" w:rsidRPr="00D10DC0" w:rsidRDefault="00D10DC0" w:rsidP="00157D1C">
            <w:pPr>
              <w:rPr>
                <w:rFonts w:ascii="Cambria" w:hAnsi="Cambria" w:cstheme="minorHAnsi"/>
                <w:sz w:val="16"/>
                <w:szCs w:val="16"/>
              </w:rPr>
            </w:pPr>
            <w:r w:rsidRPr="00D10DC0">
              <w:rPr>
                <w:rFonts w:ascii="Cambria" w:hAnsi="Cambria" w:cstheme="minorHAnsi"/>
                <w:sz w:val="16"/>
                <w:szCs w:val="16"/>
              </w:rPr>
              <w:t>63 046,55</w:t>
            </w:r>
          </w:p>
        </w:tc>
        <w:tc>
          <w:tcPr>
            <w:tcW w:w="1023" w:type="dxa"/>
            <w:tcBorders>
              <w:top w:val="nil"/>
              <w:left w:val="nil"/>
              <w:bottom w:val="single" w:sz="8" w:space="0" w:color="auto"/>
              <w:right w:val="single" w:sz="8" w:space="0" w:color="auto"/>
            </w:tcBorders>
            <w:shd w:val="clear" w:color="auto" w:fill="auto"/>
          </w:tcPr>
          <w:p w14:paraId="4A4CE9EB" w14:textId="77638613" w:rsidR="00157D1C" w:rsidRPr="00D10DC0" w:rsidRDefault="008B4F81" w:rsidP="00157D1C">
            <w:pPr>
              <w:jc w:val="right"/>
              <w:rPr>
                <w:rFonts w:ascii="Cambria" w:hAnsi="Cambria" w:cstheme="minorHAnsi"/>
                <w:sz w:val="16"/>
                <w:szCs w:val="16"/>
              </w:rPr>
            </w:pPr>
            <w:r w:rsidRPr="00D10DC0">
              <w:rPr>
                <w:rFonts w:ascii="Cambria" w:hAnsi="Cambria" w:cstheme="minorHAnsi"/>
                <w:sz w:val="16"/>
                <w:szCs w:val="16"/>
              </w:rPr>
              <w:t>62 972,36</w:t>
            </w:r>
          </w:p>
        </w:tc>
        <w:tc>
          <w:tcPr>
            <w:tcW w:w="851" w:type="dxa"/>
            <w:tcBorders>
              <w:top w:val="nil"/>
              <w:left w:val="nil"/>
              <w:bottom w:val="single" w:sz="8" w:space="0" w:color="auto"/>
              <w:right w:val="single" w:sz="8" w:space="0" w:color="auto"/>
            </w:tcBorders>
            <w:shd w:val="clear" w:color="auto" w:fill="auto"/>
            <w:vAlign w:val="center"/>
          </w:tcPr>
          <w:p w14:paraId="03B6C5CD" w14:textId="2D10E63A" w:rsidR="00157D1C" w:rsidRPr="00D10DC0" w:rsidRDefault="008B4F81" w:rsidP="008B4F81">
            <w:pPr>
              <w:spacing w:after="0" w:line="240" w:lineRule="auto"/>
              <w:jc w:val="right"/>
              <w:rPr>
                <w:rFonts w:ascii="Cambria" w:hAnsi="Cambria" w:cstheme="minorHAnsi"/>
                <w:b/>
                <w:bCs/>
                <w:sz w:val="16"/>
                <w:szCs w:val="16"/>
              </w:rPr>
            </w:pPr>
            <w:r w:rsidRPr="00D10DC0">
              <w:rPr>
                <w:rFonts w:ascii="Cambria" w:hAnsi="Cambria" w:cstheme="minorHAnsi"/>
                <w:b/>
                <w:bCs/>
                <w:sz w:val="16"/>
                <w:szCs w:val="16"/>
              </w:rPr>
              <w:t>74,18</w:t>
            </w:r>
          </w:p>
        </w:tc>
        <w:tc>
          <w:tcPr>
            <w:tcW w:w="786" w:type="dxa"/>
            <w:tcBorders>
              <w:top w:val="nil"/>
              <w:left w:val="nil"/>
              <w:bottom w:val="single" w:sz="8" w:space="0" w:color="auto"/>
              <w:right w:val="single" w:sz="8" w:space="0" w:color="auto"/>
            </w:tcBorders>
            <w:shd w:val="clear" w:color="auto" w:fill="auto"/>
          </w:tcPr>
          <w:p w14:paraId="15CEEC64" w14:textId="3477B589" w:rsidR="00157D1C" w:rsidRPr="00D10DC0" w:rsidRDefault="008B4F81" w:rsidP="00157D1C">
            <w:pPr>
              <w:rPr>
                <w:rFonts w:ascii="Cambria" w:hAnsi="Cambria" w:cstheme="minorHAnsi"/>
                <w:sz w:val="16"/>
                <w:szCs w:val="16"/>
              </w:rPr>
            </w:pPr>
            <w:r w:rsidRPr="00D10DC0">
              <w:rPr>
                <w:rFonts w:ascii="Cambria" w:hAnsi="Cambria" w:cstheme="minorHAnsi"/>
                <w:sz w:val="16"/>
                <w:szCs w:val="16"/>
              </w:rPr>
              <w:t>9 001,70</w:t>
            </w:r>
          </w:p>
        </w:tc>
        <w:tc>
          <w:tcPr>
            <w:tcW w:w="924" w:type="dxa"/>
            <w:tcBorders>
              <w:top w:val="nil"/>
              <w:left w:val="nil"/>
              <w:bottom w:val="single" w:sz="8" w:space="0" w:color="auto"/>
              <w:right w:val="single" w:sz="8" w:space="0" w:color="auto"/>
            </w:tcBorders>
            <w:shd w:val="clear" w:color="auto" w:fill="auto"/>
          </w:tcPr>
          <w:p w14:paraId="3E4F8488" w14:textId="32E0A8DF" w:rsidR="00157D1C" w:rsidRPr="00D10DC0" w:rsidRDefault="008B4F81" w:rsidP="00157D1C">
            <w:pPr>
              <w:rPr>
                <w:rFonts w:ascii="Cambria" w:hAnsi="Cambria" w:cstheme="minorHAnsi"/>
                <w:sz w:val="16"/>
                <w:szCs w:val="16"/>
              </w:rPr>
            </w:pPr>
            <w:r w:rsidRPr="00D10DC0">
              <w:rPr>
                <w:rFonts w:ascii="Cambria" w:hAnsi="Cambria" w:cstheme="minorHAnsi"/>
                <w:sz w:val="16"/>
                <w:szCs w:val="16"/>
              </w:rPr>
              <w:t>9 001,70</w:t>
            </w:r>
          </w:p>
        </w:tc>
        <w:tc>
          <w:tcPr>
            <w:tcW w:w="938" w:type="dxa"/>
            <w:tcBorders>
              <w:top w:val="nil"/>
              <w:left w:val="nil"/>
              <w:bottom w:val="single" w:sz="8" w:space="0" w:color="auto"/>
              <w:right w:val="single" w:sz="8" w:space="0" w:color="auto"/>
            </w:tcBorders>
            <w:shd w:val="clear" w:color="auto" w:fill="auto"/>
          </w:tcPr>
          <w:p w14:paraId="0B9C24D5" w14:textId="77777777" w:rsidR="00157D1C" w:rsidRPr="00D10DC0" w:rsidRDefault="00157D1C" w:rsidP="00157D1C">
            <w:pPr>
              <w:jc w:val="right"/>
              <w:rPr>
                <w:rFonts w:ascii="Cambria" w:hAnsi="Cambria" w:cstheme="minorHAnsi"/>
                <w:sz w:val="16"/>
                <w:szCs w:val="16"/>
              </w:rPr>
            </w:pPr>
            <w:r w:rsidRPr="00D10DC0">
              <w:rPr>
                <w:rFonts w:ascii="Cambria" w:hAnsi="Cambria" w:cstheme="minorHAnsi"/>
                <w:sz w:val="16"/>
                <w:szCs w:val="16"/>
              </w:rPr>
              <w:t>0</w:t>
            </w:r>
          </w:p>
        </w:tc>
      </w:tr>
      <w:tr w:rsidR="00D10DC0" w:rsidRPr="00D10DC0" w14:paraId="7C7D8F09" w14:textId="77777777" w:rsidTr="00D10DC0">
        <w:trPr>
          <w:trHeight w:val="435"/>
        </w:trPr>
        <w:tc>
          <w:tcPr>
            <w:tcW w:w="1135" w:type="dxa"/>
            <w:tcBorders>
              <w:top w:val="nil"/>
              <w:left w:val="single" w:sz="8" w:space="0" w:color="auto"/>
              <w:bottom w:val="single" w:sz="8" w:space="0" w:color="auto"/>
              <w:right w:val="nil"/>
            </w:tcBorders>
            <w:shd w:val="clear" w:color="000000" w:fill="FAC090"/>
            <w:vAlign w:val="center"/>
            <w:hideMark/>
          </w:tcPr>
          <w:p w14:paraId="5D1CA989" w14:textId="77777777" w:rsidR="00157D1C" w:rsidRPr="00D10DC0" w:rsidRDefault="00157D1C" w:rsidP="00157D1C">
            <w:pPr>
              <w:spacing w:after="0" w:line="240" w:lineRule="auto"/>
              <w:jc w:val="both"/>
              <w:rPr>
                <w:rFonts w:ascii="Cambria" w:hAnsi="Cambria" w:cstheme="minorHAnsi"/>
                <w:bCs/>
                <w:sz w:val="16"/>
                <w:szCs w:val="16"/>
              </w:rPr>
            </w:pPr>
            <w:r w:rsidRPr="00D10DC0">
              <w:rPr>
                <w:rFonts w:ascii="Cambria" w:hAnsi="Cambria" w:cstheme="minorHAnsi"/>
                <w:bCs/>
                <w:sz w:val="16"/>
                <w:szCs w:val="16"/>
              </w:rPr>
              <w:t>1100.01.00</w:t>
            </w:r>
          </w:p>
        </w:tc>
        <w:tc>
          <w:tcPr>
            <w:tcW w:w="1275" w:type="dxa"/>
            <w:tcBorders>
              <w:top w:val="nil"/>
              <w:left w:val="single" w:sz="8" w:space="0" w:color="auto"/>
              <w:bottom w:val="single" w:sz="8" w:space="0" w:color="auto"/>
              <w:right w:val="single" w:sz="4" w:space="0" w:color="auto"/>
            </w:tcBorders>
            <w:shd w:val="clear" w:color="000000" w:fill="FAC090"/>
            <w:vAlign w:val="center"/>
            <w:hideMark/>
          </w:tcPr>
          <w:p w14:paraId="2FA0D3A6" w14:textId="77777777" w:rsidR="00157D1C" w:rsidRPr="00D10DC0" w:rsidRDefault="00157D1C" w:rsidP="00157D1C">
            <w:pPr>
              <w:spacing w:after="0" w:line="240" w:lineRule="auto"/>
              <w:jc w:val="both"/>
              <w:rPr>
                <w:rFonts w:ascii="Cambria" w:hAnsi="Cambria" w:cstheme="minorHAnsi"/>
                <w:bCs/>
                <w:sz w:val="16"/>
                <w:szCs w:val="16"/>
              </w:rPr>
            </w:pPr>
            <w:r w:rsidRPr="00D10DC0">
              <w:rPr>
                <w:rFonts w:ascii="Cambria" w:hAnsi="Cambria" w:cstheme="minorHAnsi"/>
                <w:bCs/>
                <w:sz w:val="16"/>
                <w:szCs w:val="16"/>
              </w:rPr>
              <w:t>Политика в областта на развитието на ефективна дипломатическа служба</w:t>
            </w:r>
          </w:p>
        </w:tc>
        <w:tc>
          <w:tcPr>
            <w:tcW w:w="1015" w:type="dxa"/>
            <w:tcBorders>
              <w:top w:val="nil"/>
              <w:left w:val="nil"/>
              <w:bottom w:val="single" w:sz="8" w:space="0" w:color="auto"/>
              <w:right w:val="single" w:sz="8" w:space="0" w:color="auto"/>
            </w:tcBorders>
            <w:shd w:val="clear" w:color="auto" w:fill="FABF8F" w:themeFill="accent6" w:themeFillTint="99"/>
          </w:tcPr>
          <w:p w14:paraId="47E4583A" w14:textId="5EE826A1" w:rsidR="00157D1C" w:rsidRPr="00D10DC0" w:rsidRDefault="002F752F" w:rsidP="002F752F">
            <w:pPr>
              <w:jc w:val="right"/>
              <w:rPr>
                <w:rFonts w:ascii="Cambria" w:hAnsi="Cambria" w:cstheme="minorHAnsi"/>
                <w:sz w:val="16"/>
                <w:szCs w:val="16"/>
              </w:rPr>
            </w:pPr>
            <w:r w:rsidRPr="00D10DC0">
              <w:rPr>
                <w:rFonts w:ascii="Cambria" w:hAnsi="Cambria" w:cstheme="minorHAnsi"/>
                <w:sz w:val="16"/>
                <w:szCs w:val="16"/>
              </w:rPr>
              <w:t>128 44</w:t>
            </w:r>
            <w:r w:rsidR="008B4F81" w:rsidRPr="00D10DC0">
              <w:rPr>
                <w:rFonts w:ascii="Cambria" w:hAnsi="Cambria" w:cstheme="minorHAnsi"/>
                <w:sz w:val="16"/>
                <w:szCs w:val="16"/>
              </w:rPr>
              <w:t>7</w:t>
            </w:r>
            <w:r w:rsidRPr="00D10DC0">
              <w:rPr>
                <w:rFonts w:ascii="Cambria" w:hAnsi="Cambria" w:cstheme="minorHAnsi"/>
                <w:sz w:val="16"/>
                <w:szCs w:val="16"/>
              </w:rPr>
              <w:t xml:space="preserve">,7 </w:t>
            </w:r>
          </w:p>
        </w:tc>
        <w:tc>
          <w:tcPr>
            <w:tcW w:w="1022" w:type="dxa"/>
            <w:tcBorders>
              <w:top w:val="nil"/>
              <w:left w:val="nil"/>
              <w:bottom w:val="single" w:sz="8" w:space="0" w:color="auto"/>
              <w:right w:val="single" w:sz="8" w:space="0" w:color="auto"/>
            </w:tcBorders>
            <w:shd w:val="clear" w:color="auto" w:fill="FABF8F" w:themeFill="accent6" w:themeFillTint="99"/>
          </w:tcPr>
          <w:p w14:paraId="1E198981" w14:textId="2F42F3ED" w:rsidR="00157D1C" w:rsidRPr="00D10DC0" w:rsidRDefault="008B4F81" w:rsidP="00157D1C">
            <w:pPr>
              <w:jc w:val="right"/>
              <w:rPr>
                <w:rFonts w:ascii="Cambria" w:hAnsi="Cambria" w:cstheme="minorHAnsi"/>
                <w:sz w:val="16"/>
                <w:szCs w:val="16"/>
              </w:rPr>
            </w:pPr>
            <w:r w:rsidRPr="00D10DC0">
              <w:rPr>
                <w:rFonts w:ascii="Cambria" w:hAnsi="Cambria" w:cstheme="minorHAnsi"/>
                <w:sz w:val="16"/>
                <w:szCs w:val="16"/>
              </w:rPr>
              <w:t>135 061,41</w:t>
            </w:r>
          </w:p>
        </w:tc>
        <w:tc>
          <w:tcPr>
            <w:tcW w:w="1022" w:type="dxa"/>
            <w:tcBorders>
              <w:top w:val="nil"/>
              <w:left w:val="single" w:sz="8" w:space="0" w:color="auto"/>
              <w:bottom w:val="single" w:sz="8" w:space="0" w:color="auto"/>
              <w:right w:val="single" w:sz="8" w:space="0" w:color="auto"/>
            </w:tcBorders>
            <w:shd w:val="clear" w:color="auto" w:fill="FABF8F" w:themeFill="accent6" w:themeFillTint="99"/>
          </w:tcPr>
          <w:p w14:paraId="54BCEAEF" w14:textId="6AC4E810" w:rsidR="00157D1C" w:rsidRPr="00D10DC0" w:rsidRDefault="00D10DC0" w:rsidP="00157D1C">
            <w:pPr>
              <w:rPr>
                <w:rFonts w:ascii="Cambria" w:hAnsi="Cambria" w:cstheme="minorHAnsi"/>
                <w:sz w:val="16"/>
                <w:szCs w:val="16"/>
              </w:rPr>
            </w:pPr>
            <w:r w:rsidRPr="00D10DC0">
              <w:rPr>
                <w:rFonts w:ascii="Cambria" w:hAnsi="Cambria" w:cstheme="minorHAnsi"/>
                <w:sz w:val="16"/>
                <w:szCs w:val="16"/>
              </w:rPr>
              <w:t>61 135,26</w:t>
            </w:r>
          </w:p>
        </w:tc>
        <w:tc>
          <w:tcPr>
            <w:tcW w:w="1021" w:type="dxa"/>
            <w:tcBorders>
              <w:top w:val="nil"/>
              <w:left w:val="nil"/>
              <w:bottom w:val="single" w:sz="8" w:space="0" w:color="auto"/>
              <w:right w:val="single" w:sz="8" w:space="0" w:color="auto"/>
            </w:tcBorders>
            <w:shd w:val="clear" w:color="auto" w:fill="FABF8F" w:themeFill="accent6" w:themeFillTint="99"/>
          </w:tcPr>
          <w:p w14:paraId="6E8DC131" w14:textId="536E6690" w:rsidR="00157D1C" w:rsidRPr="00D10DC0" w:rsidRDefault="00D10DC0" w:rsidP="00157D1C">
            <w:pPr>
              <w:rPr>
                <w:rFonts w:ascii="Cambria" w:hAnsi="Cambria" w:cstheme="minorHAnsi"/>
                <w:sz w:val="16"/>
                <w:szCs w:val="16"/>
              </w:rPr>
            </w:pPr>
            <w:r w:rsidRPr="00D10DC0">
              <w:rPr>
                <w:rFonts w:ascii="Cambria" w:hAnsi="Cambria" w:cstheme="minorHAnsi"/>
                <w:sz w:val="16"/>
                <w:szCs w:val="16"/>
              </w:rPr>
              <w:t>61 135,26</w:t>
            </w:r>
          </w:p>
        </w:tc>
        <w:tc>
          <w:tcPr>
            <w:tcW w:w="1023" w:type="dxa"/>
            <w:tcBorders>
              <w:top w:val="nil"/>
              <w:left w:val="nil"/>
              <w:bottom w:val="single" w:sz="8" w:space="0" w:color="auto"/>
              <w:right w:val="single" w:sz="8" w:space="0" w:color="auto"/>
            </w:tcBorders>
            <w:shd w:val="clear" w:color="auto" w:fill="FDE9D9" w:themeFill="accent6" w:themeFillTint="33"/>
          </w:tcPr>
          <w:p w14:paraId="4F3963FE" w14:textId="66FB7A4F" w:rsidR="00157D1C" w:rsidRPr="00D10DC0" w:rsidRDefault="008B4F81" w:rsidP="00157D1C">
            <w:pPr>
              <w:jc w:val="right"/>
              <w:rPr>
                <w:rFonts w:ascii="Cambria" w:hAnsi="Cambria" w:cstheme="minorHAnsi"/>
                <w:sz w:val="16"/>
                <w:szCs w:val="16"/>
              </w:rPr>
            </w:pPr>
            <w:r w:rsidRPr="00D10DC0">
              <w:rPr>
                <w:rFonts w:ascii="Cambria" w:hAnsi="Cambria" w:cstheme="minorHAnsi"/>
                <w:sz w:val="16"/>
                <w:szCs w:val="16"/>
              </w:rPr>
              <w:t>61 135,26</w:t>
            </w:r>
          </w:p>
        </w:tc>
        <w:tc>
          <w:tcPr>
            <w:tcW w:w="851" w:type="dxa"/>
            <w:tcBorders>
              <w:top w:val="nil"/>
              <w:left w:val="nil"/>
              <w:bottom w:val="single" w:sz="8" w:space="0" w:color="auto"/>
              <w:right w:val="single" w:sz="8" w:space="0" w:color="auto"/>
            </w:tcBorders>
            <w:shd w:val="clear" w:color="auto" w:fill="FABF8F" w:themeFill="accent6" w:themeFillTint="99"/>
            <w:vAlign w:val="center"/>
          </w:tcPr>
          <w:p w14:paraId="67BDF664" w14:textId="77777777" w:rsidR="00157D1C" w:rsidRPr="00D10DC0" w:rsidRDefault="00157D1C" w:rsidP="00157D1C">
            <w:pPr>
              <w:jc w:val="right"/>
              <w:rPr>
                <w:rFonts w:ascii="Cambria" w:hAnsi="Cambria" w:cstheme="minorHAnsi"/>
                <w:b/>
                <w:bCs/>
                <w:sz w:val="16"/>
                <w:szCs w:val="16"/>
              </w:rPr>
            </w:pPr>
            <w:r w:rsidRPr="00D10DC0">
              <w:rPr>
                <w:rFonts w:ascii="Cambria" w:hAnsi="Cambria" w:cstheme="minorHAnsi"/>
                <w:b/>
                <w:bCs/>
                <w:sz w:val="16"/>
                <w:szCs w:val="16"/>
              </w:rPr>
              <w:t>0</w:t>
            </w:r>
          </w:p>
        </w:tc>
        <w:tc>
          <w:tcPr>
            <w:tcW w:w="786" w:type="dxa"/>
            <w:tcBorders>
              <w:top w:val="nil"/>
              <w:left w:val="nil"/>
              <w:bottom w:val="single" w:sz="8" w:space="0" w:color="auto"/>
              <w:right w:val="single" w:sz="8" w:space="0" w:color="auto"/>
            </w:tcBorders>
            <w:shd w:val="clear" w:color="auto" w:fill="FABF8F" w:themeFill="accent6" w:themeFillTint="99"/>
          </w:tcPr>
          <w:p w14:paraId="7DA2427A" w14:textId="0B2CF263" w:rsidR="00157D1C" w:rsidRPr="00D10DC0" w:rsidRDefault="00157D1C" w:rsidP="00157D1C">
            <w:pPr>
              <w:jc w:val="right"/>
              <w:rPr>
                <w:rFonts w:ascii="Cambria" w:hAnsi="Cambria" w:cstheme="minorHAnsi"/>
                <w:sz w:val="16"/>
                <w:szCs w:val="16"/>
              </w:rPr>
            </w:pPr>
          </w:p>
        </w:tc>
        <w:tc>
          <w:tcPr>
            <w:tcW w:w="924" w:type="dxa"/>
            <w:tcBorders>
              <w:top w:val="nil"/>
              <w:left w:val="nil"/>
              <w:bottom w:val="single" w:sz="8" w:space="0" w:color="auto"/>
              <w:right w:val="single" w:sz="8" w:space="0" w:color="auto"/>
            </w:tcBorders>
            <w:shd w:val="clear" w:color="auto" w:fill="FDE9D9" w:themeFill="accent6" w:themeFillTint="33"/>
          </w:tcPr>
          <w:p w14:paraId="54DD2E97" w14:textId="61889F30" w:rsidR="00157D1C" w:rsidRPr="00D10DC0" w:rsidRDefault="00157D1C" w:rsidP="00157D1C">
            <w:pPr>
              <w:jc w:val="right"/>
              <w:rPr>
                <w:rFonts w:ascii="Cambria" w:hAnsi="Cambria" w:cstheme="minorHAnsi"/>
                <w:sz w:val="16"/>
                <w:szCs w:val="16"/>
              </w:rPr>
            </w:pPr>
          </w:p>
        </w:tc>
        <w:tc>
          <w:tcPr>
            <w:tcW w:w="938" w:type="dxa"/>
            <w:tcBorders>
              <w:top w:val="nil"/>
              <w:left w:val="nil"/>
              <w:bottom w:val="single" w:sz="8" w:space="0" w:color="auto"/>
              <w:right w:val="single" w:sz="8" w:space="0" w:color="auto"/>
            </w:tcBorders>
            <w:shd w:val="clear" w:color="auto" w:fill="FABF8F" w:themeFill="accent6" w:themeFillTint="99"/>
          </w:tcPr>
          <w:p w14:paraId="445142D4" w14:textId="77777777" w:rsidR="00157D1C" w:rsidRPr="00D10DC0" w:rsidRDefault="00157D1C" w:rsidP="00157D1C">
            <w:pPr>
              <w:jc w:val="right"/>
              <w:rPr>
                <w:rFonts w:ascii="Cambria" w:hAnsi="Cambria" w:cstheme="minorHAnsi"/>
                <w:sz w:val="16"/>
                <w:szCs w:val="16"/>
              </w:rPr>
            </w:pPr>
            <w:r w:rsidRPr="00D10DC0">
              <w:rPr>
                <w:rFonts w:ascii="Cambria" w:hAnsi="Cambria" w:cstheme="minorHAnsi"/>
                <w:sz w:val="16"/>
                <w:szCs w:val="16"/>
              </w:rPr>
              <w:t>0</w:t>
            </w:r>
          </w:p>
        </w:tc>
      </w:tr>
      <w:tr w:rsidR="00D10DC0" w:rsidRPr="00D10DC0" w14:paraId="536445A3" w14:textId="77777777" w:rsidTr="00D10DC0">
        <w:trPr>
          <w:trHeight w:val="435"/>
        </w:trPr>
        <w:tc>
          <w:tcPr>
            <w:tcW w:w="1135" w:type="dxa"/>
            <w:tcBorders>
              <w:top w:val="single" w:sz="8" w:space="0" w:color="auto"/>
              <w:left w:val="single" w:sz="8" w:space="0" w:color="auto"/>
              <w:bottom w:val="single" w:sz="4" w:space="0" w:color="auto"/>
              <w:right w:val="nil"/>
            </w:tcBorders>
            <w:shd w:val="clear" w:color="000000" w:fill="FAC090"/>
            <w:vAlign w:val="center"/>
            <w:hideMark/>
          </w:tcPr>
          <w:p w14:paraId="77E54C2B" w14:textId="77777777" w:rsidR="00157D1C" w:rsidRPr="00D10DC0" w:rsidRDefault="00157D1C" w:rsidP="00157D1C">
            <w:pPr>
              <w:spacing w:after="0" w:line="240" w:lineRule="auto"/>
              <w:jc w:val="both"/>
              <w:rPr>
                <w:rFonts w:ascii="Cambria" w:hAnsi="Cambria" w:cstheme="minorHAnsi"/>
                <w:bCs/>
                <w:sz w:val="16"/>
                <w:szCs w:val="16"/>
              </w:rPr>
            </w:pPr>
            <w:r w:rsidRPr="00D10DC0">
              <w:rPr>
                <w:rFonts w:ascii="Cambria" w:hAnsi="Cambria" w:cstheme="minorHAnsi"/>
                <w:bCs/>
                <w:sz w:val="16"/>
                <w:szCs w:val="16"/>
              </w:rPr>
              <w:t>1100.02.00</w:t>
            </w:r>
          </w:p>
        </w:tc>
        <w:tc>
          <w:tcPr>
            <w:tcW w:w="1275" w:type="dxa"/>
            <w:tcBorders>
              <w:top w:val="single" w:sz="8" w:space="0" w:color="auto"/>
              <w:left w:val="single" w:sz="8" w:space="0" w:color="auto"/>
              <w:bottom w:val="single" w:sz="4" w:space="0" w:color="auto"/>
              <w:right w:val="single" w:sz="4" w:space="0" w:color="auto"/>
            </w:tcBorders>
            <w:shd w:val="clear" w:color="000000" w:fill="FAC090"/>
            <w:vAlign w:val="center"/>
            <w:hideMark/>
          </w:tcPr>
          <w:p w14:paraId="32A81039" w14:textId="77777777" w:rsidR="00157D1C" w:rsidRPr="00D10DC0" w:rsidRDefault="00157D1C" w:rsidP="00157D1C">
            <w:pPr>
              <w:spacing w:after="0" w:line="240" w:lineRule="auto"/>
              <w:jc w:val="both"/>
              <w:rPr>
                <w:rFonts w:ascii="Cambria" w:hAnsi="Cambria" w:cstheme="minorHAnsi"/>
                <w:bCs/>
                <w:sz w:val="16"/>
                <w:szCs w:val="16"/>
              </w:rPr>
            </w:pPr>
            <w:r w:rsidRPr="00D10DC0">
              <w:rPr>
                <w:rFonts w:ascii="Cambria" w:hAnsi="Cambria" w:cstheme="minorHAnsi"/>
                <w:bCs/>
                <w:sz w:val="16"/>
                <w:szCs w:val="16"/>
              </w:rPr>
              <w:t>Политика в областта на публичната дипломация</w:t>
            </w:r>
          </w:p>
        </w:tc>
        <w:tc>
          <w:tcPr>
            <w:tcW w:w="1015" w:type="dxa"/>
            <w:tcBorders>
              <w:top w:val="nil"/>
              <w:left w:val="single" w:sz="4" w:space="0" w:color="auto"/>
              <w:bottom w:val="single" w:sz="8" w:space="0" w:color="auto"/>
              <w:right w:val="single" w:sz="8" w:space="0" w:color="auto"/>
            </w:tcBorders>
            <w:shd w:val="clear" w:color="auto" w:fill="FABF8F" w:themeFill="accent6" w:themeFillTint="99"/>
          </w:tcPr>
          <w:p w14:paraId="74832542" w14:textId="290CBF95" w:rsidR="00157D1C" w:rsidRPr="00D10DC0" w:rsidRDefault="002F752F" w:rsidP="008B4F81">
            <w:pPr>
              <w:jc w:val="right"/>
              <w:rPr>
                <w:rFonts w:ascii="Cambria" w:hAnsi="Cambria" w:cstheme="minorHAnsi"/>
                <w:sz w:val="16"/>
                <w:szCs w:val="16"/>
              </w:rPr>
            </w:pPr>
            <w:r w:rsidRPr="00D10DC0">
              <w:rPr>
                <w:rFonts w:ascii="Cambria" w:hAnsi="Cambria" w:cstheme="minorHAnsi"/>
                <w:sz w:val="16"/>
                <w:szCs w:val="16"/>
              </w:rPr>
              <w:t>1</w:t>
            </w:r>
            <w:r w:rsidR="008B4F81" w:rsidRPr="00D10DC0">
              <w:rPr>
                <w:rFonts w:ascii="Cambria" w:hAnsi="Cambria" w:cstheme="minorHAnsi"/>
                <w:sz w:val="16"/>
                <w:szCs w:val="16"/>
              </w:rPr>
              <w:t> </w:t>
            </w:r>
            <w:r w:rsidRPr="00D10DC0">
              <w:rPr>
                <w:rFonts w:ascii="Cambria" w:hAnsi="Cambria" w:cstheme="minorHAnsi"/>
                <w:sz w:val="16"/>
                <w:szCs w:val="16"/>
              </w:rPr>
              <w:t>1</w:t>
            </w:r>
            <w:r w:rsidR="008B4F81" w:rsidRPr="00D10DC0">
              <w:rPr>
                <w:rFonts w:ascii="Cambria" w:hAnsi="Cambria" w:cstheme="minorHAnsi"/>
                <w:sz w:val="16"/>
                <w:szCs w:val="16"/>
              </w:rPr>
              <w:t>89,7</w:t>
            </w:r>
          </w:p>
        </w:tc>
        <w:tc>
          <w:tcPr>
            <w:tcW w:w="1022" w:type="dxa"/>
            <w:tcBorders>
              <w:top w:val="nil"/>
              <w:left w:val="nil"/>
              <w:bottom w:val="single" w:sz="8" w:space="0" w:color="auto"/>
              <w:right w:val="single" w:sz="8" w:space="0" w:color="auto"/>
            </w:tcBorders>
            <w:shd w:val="clear" w:color="auto" w:fill="FABF8F" w:themeFill="accent6" w:themeFillTint="99"/>
          </w:tcPr>
          <w:p w14:paraId="66394AE9" w14:textId="545C3174" w:rsidR="00157D1C" w:rsidRPr="00D10DC0" w:rsidRDefault="00157D1C" w:rsidP="008B4F81">
            <w:pPr>
              <w:jc w:val="right"/>
              <w:rPr>
                <w:rFonts w:ascii="Cambria" w:hAnsi="Cambria" w:cstheme="minorHAnsi"/>
                <w:sz w:val="16"/>
                <w:szCs w:val="16"/>
              </w:rPr>
            </w:pPr>
            <w:r w:rsidRPr="00D10DC0">
              <w:rPr>
                <w:rFonts w:ascii="Cambria" w:hAnsi="Cambria" w:cstheme="minorHAnsi"/>
                <w:sz w:val="16"/>
                <w:szCs w:val="16"/>
              </w:rPr>
              <w:t>1</w:t>
            </w:r>
            <w:r w:rsidR="008B4F81" w:rsidRPr="00D10DC0">
              <w:rPr>
                <w:rFonts w:ascii="Cambria" w:hAnsi="Cambria" w:cstheme="minorHAnsi"/>
                <w:sz w:val="16"/>
                <w:szCs w:val="16"/>
              </w:rPr>
              <w:t> 162,22</w:t>
            </w:r>
          </w:p>
        </w:tc>
        <w:tc>
          <w:tcPr>
            <w:tcW w:w="1022" w:type="dxa"/>
            <w:tcBorders>
              <w:top w:val="nil"/>
              <w:left w:val="single" w:sz="8" w:space="0" w:color="auto"/>
              <w:bottom w:val="single" w:sz="8" w:space="0" w:color="auto"/>
              <w:right w:val="single" w:sz="8" w:space="0" w:color="auto"/>
            </w:tcBorders>
            <w:shd w:val="clear" w:color="auto" w:fill="FABF8F" w:themeFill="accent6" w:themeFillTint="99"/>
          </w:tcPr>
          <w:p w14:paraId="3EFBC940" w14:textId="3E43DAA5" w:rsidR="00157D1C" w:rsidRPr="00D10DC0" w:rsidRDefault="00D10DC0" w:rsidP="00157D1C">
            <w:pPr>
              <w:jc w:val="right"/>
              <w:rPr>
                <w:rFonts w:ascii="Cambria" w:hAnsi="Cambria" w:cstheme="minorHAnsi"/>
                <w:sz w:val="16"/>
                <w:szCs w:val="16"/>
              </w:rPr>
            </w:pPr>
            <w:r w:rsidRPr="00D10DC0">
              <w:rPr>
                <w:rFonts w:ascii="Cambria" w:hAnsi="Cambria" w:cstheme="minorHAnsi"/>
                <w:sz w:val="16"/>
                <w:szCs w:val="16"/>
              </w:rPr>
              <w:t>544,99</w:t>
            </w:r>
          </w:p>
        </w:tc>
        <w:tc>
          <w:tcPr>
            <w:tcW w:w="1021" w:type="dxa"/>
            <w:tcBorders>
              <w:top w:val="nil"/>
              <w:left w:val="nil"/>
              <w:bottom w:val="single" w:sz="8" w:space="0" w:color="auto"/>
              <w:right w:val="single" w:sz="8" w:space="0" w:color="auto"/>
            </w:tcBorders>
            <w:shd w:val="clear" w:color="auto" w:fill="FABF8F" w:themeFill="accent6" w:themeFillTint="99"/>
          </w:tcPr>
          <w:p w14:paraId="5C6478B6" w14:textId="3D934FB6" w:rsidR="00157D1C" w:rsidRPr="00D10DC0" w:rsidRDefault="00D10DC0" w:rsidP="00157D1C">
            <w:pPr>
              <w:jc w:val="right"/>
              <w:rPr>
                <w:rFonts w:ascii="Cambria" w:hAnsi="Cambria" w:cstheme="minorHAnsi"/>
                <w:sz w:val="16"/>
                <w:szCs w:val="16"/>
              </w:rPr>
            </w:pPr>
            <w:r w:rsidRPr="00D10DC0">
              <w:rPr>
                <w:rFonts w:ascii="Cambria" w:hAnsi="Cambria" w:cstheme="minorHAnsi"/>
                <w:sz w:val="16"/>
                <w:szCs w:val="16"/>
              </w:rPr>
              <w:t>544,99</w:t>
            </w:r>
          </w:p>
        </w:tc>
        <w:tc>
          <w:tcPr>
            <w:tcW w:w="1023" w:type="dxa"/>
            <w:tcBorders>
              <w:top w:val="nil"/>
              <w:left w:val="nil"/>
              <w:bottom w:val="single" w:sz="8" w:space="0" w:color="auto"/>
              <w:right w:val="single" w:sz="8" w:space="0" w:color="auto"/>
            </w:tcBorders>
            <w:shd w:val="clear" w:color="auto" w:fill="FDE9D9" w:themeFill="accent6" w:themeFillTint="33"/>
          </w:tcPr>
          <w:p w14:paraId="1577BD81" w14:textId="3AD812E9" w:rsidR="00157D1C" w:rsidRPr="00D10DC0" w:rsidRDefault="008B4F81" w:rsidP="00D10DC0">
            <w:pPr>
              <w:jc w:val="right"/>
              <w:rPr>
                <w:rFonts w:ascii="Cambria" w:hAnsi="Cambria" w:cstheme="minorHAnsi"/>
                <w:sz w:val="16"/>
                <w:szCs w:val="16"/>
              </w:rPr>
            </w:pPr>
            <w:r w:rsidRPr="00D10DC0">
              <w:rPr>
                <w:rFonts w:ascii="Cambria" w:hAnsi="Cambria" w:cstheme="minorHAnsi"/>
                <w:sz w:val="16"/>
                <w:szCs w:val="16"/>
              </w:rPr>
              <w:t>508,7</w:t>
            </w:r>
            <w:r w:rsidR="00D10DC0" w:rsidRPr="00D10DC0">
              <w:rPr>
                <w:rFonts w:ascii="Cambria" w:hAnsi="Cambria" w:cstheme="minorHAnsi"/>
                <w:sz w:val="16"/>
                <w:szCs w:val="16"/>
              </w:rPr>
              <w:t>3</w:t>
            </w:r>
          </w:p>
        </w:tc>
        <w:tc>
          <w:tcPr>
            <w:tcW w:w="851" w:type="dxa"/>
            <w:tcBorders>
              <w:top w:val="nil"/>
              <w:left w:val="nil"/>
              <w:bottom w:val="single" w:sz="8" w:space="0" w:color="auto"/>
              <w:right w:val="single" w:sz="8" w:space="0" w:color="auto"/>
            </w:tcBorders>
            <w:shd w:val="clear" w:color="auto" w:fill="FABF8F" w:themeFill="accent6" w:themeFillTint="99"/>
            <w:vAlign w:val="center"/>
          </w:tcPr>
          <w:p w14:paraId="2DADBA1B" w14:textId="01593BEA" w:rsidR="00157D1C" w:rsidRPr="00D10DC0" w:rsidRDefault="008B4F81" w:rsidP="00157D1C">
            <w:pPr>
              <w:spacing w:after="0" w:line="240" w:lineRule="auto"/>
              <w:jc w:val="right"/>
              <w:rPr>
                <w:rFonts w:ascii="Cambria" w:hAnsi="Cambria" w:cstheme="minorHAnsi"/>
                <w:bCs/>
                <w:sz w:val="16"/>
                <w:szCs w:val="16"/>
              </w:rPr>
            </w:pPr>
            <w:r w:rsidRPr="00D10DC0">
              <w:rPr>
                <w:rFonts w:ascii="Cambria" w:hAnsi="Cambria" w:cstheme="minorHAnsi"/>
                <w:b/>
                <w:bCs/>
                <w:sz w:val="16"/>
                <w:szCs w:val="16"/>
              </w:rPr>
              <w:t>36,25</w:t>
            </w:r>
            <w:r w:rsidR="00157D1C" w:rsidRPr="00D10DC0">
              <w:rPr>
                <w:rFonts w:ascii="Cambria" w:hAnsi="Cambria" w:cstheme="minorHAnsi"/>
                <w:b/>
                <w:bCs/>
                <w:sz w:val="16"/>
                <w:szCs w:val="16"/>
              </w:rPr>
              <w:t>0</w:t>
            </w:r>
          </w:p>
        </w:tc>
        <w:tc>
          <w:tcPr>
            <w:tcW w:w="786" w:type="dxa"/>
            <w:tcBorders>
              <w:top w:val="nil"/>
              <w:left w:val="nil"/>
              <w:bottom w:val="single" w:sz="8" w:space="0" w:color="auto"/>
              <w:right w:val="single" w:sz="8" w:space="0" w:color="auto"/>
            </w:tcBorders>
            <w:shd w:val="clear" w:color="auto" w:fill="FABF8F" w:themeFill="accent6" w:themeFillTint="99"/>
          </w:tcPr>
          <w:p w14:paraId="7CC97925" w14:textId="77777777" w:rsidR="00157D1C" w:rsidRPr="00D10DC0" w:rsidRDefault="00157D1C" w:rsidP="00157D1C">
            <w:pPr>
              <w:jc w:val="right"/>
              <w:rPr>
                <w:rFonts w:ascii="Cambria" w:hAnsi="Cambria" w:cstheme="minorHAnsi"/>
                <w:sz w:val="16"/>
                <w:szCs w:val="16"/>
              </w:rPr>
            </w:pPr>
            <w:r w:rsidRPr="00D10DC0">
              <w:rPr>
                <w:rFonts w:ascii="Cambria" w:hAnsi="Cambria" w:cstheme="minorHAnsi"/>
                <w:sz w:val="16"/>
                <w:szCs w:val="16"/>
              </w:rPr>
              <w:t>0,00</w:t>
            </w:r>
          </w:p>
        </w:tc>
        <w:tc>
          <w:tcPr>
            <w:tcW w:w="924" w:type="dxa"/>
            <w:tcBorders>
              <w:top w:val="nil"/>
              <w:left w:val="nil"/>
              <w:bottom w:val="single" w:sz="8" w:space="0" w:color="auto"/>
              <w:right w:val="single" w:sz="8" w:space="0" w:color="auto"/>
            </w:tcBorders>
            <w:shd w:val="clear" w:color="auto" w:fill="FDE9D9" w:themeFill="accent6" w:themeFillTint="33"/>
          </w:tcPr>
          <w:p w14:paraId="58396A64" w14:textId="77777777" w:rsidR="00157D1C" w:rsidRPr="00D10DC0" w:rsidRDefault="00157D1C" w:rsidP="00157D1C">
            <w:pPr>
              <w:jc w:val="right"/>
              <w:rPr>
                <w:rFonts w:ascii="Cambria" w:hAnsi="Cambria" w:cstheme="minorHAnsi"/>
                <w:sz w:val="16"/>
                <w:szCs w:val="16"/>
              </w:rPr>
            </w:pPr>
            <w:r w:rsidRPr="00D10DC0">
              <w:rPr>
                <w:rFonts w:ascii="Cambria" w:hAnsi="Cambria" w:cstheme="minorHAnsi"/>
                <w:sz w:val="16"/>
                <w:szCs w:val="16"/>
              </w:rPr>
              <w:t>0,00</w:t>
            </w:r>
          </w:p>
        </w:tc>
        <w:tc>
          <w:tcPr>
            <w:tcW w:w="938" w:type="dxa"/>
            <w:tcBorders>
              <w:top w:val="nil"/>
              <w:left w:val="nil"/>
              <w:bottom w:val="single" w:sz="8" w:space="0" w:color="auto"/>
              <w:right w:val="single" w:sz="8" w:space="0" w:color="auto"/>
            </w:tcBorders>
            <w:shd w:val="clear" w:color="auto" w:fill="FABF8F" w:themeFill="accent6" w:themeFillTint="99"/>
          </w:tcPr>
          <w:p w14:paraId="2DB3522D" w14:textId="77777777" w:rsidR="00157D1C" w:rsidRPr="00D10DC0" w:rsidRDefault="00157D1C" w:rsidP="00157D1C">
            <w:pPr>
              <w:jc w:val="right"/>
              <w:rPr>
                <w:rFonts w:ascii="Cambria" w:hAnsi="Cambria" w:cstheme="minorHAnsi"/>
                <w:sz w:val="16"/>
                <w:szCs w:val="16"/>
              </w:rPr>
            </w:pPr>
            <w:r w:rsidRPr="00D10DC0">
              <w:rPr>
                <w:rFonts w:ascii="Cambria" w:hAnsi="Cambria" w:cstheme="minorHAnsi"/>
                <w:sz w:val="16"/>
                <w:szCs w:val="16"/>
              </w:rPr>
              <w:t>0</w:t>
            </w:r>
          </w:p>
        </w:tc>
      </w:tr>
      <w:tr w:rsidR="00D10DC0" w:rsidRPr="00D10DC0" w14:paraId="3F0A08A0" w14:textId="77777777" w:rsidTr="00D10DC0">
        <w:trPr>
          <w:trHeight w:val="435"/>
        </w:trPr>
        <w:tc>
          <w:tcPr>
            <w:tcW w:w="1135" w:type="dxa"/>
            <w:tcBorders>
              <w:top w:val="single" w:sz="4" w:space="0" w:color="auto"/>
              <w:left w:val="single" w:sz="8" w:space="0" w:color="auto"/>
              <w:bottom w:val="single" w:sz="8" w:space="0" w:color="auto"/>
              <w:right w:val="nil"/>
            </w:tcBorders>
            <w:shd w:val="clear" w:color="000000" w:fill="FAC090"/>
            <w:vAlign w:val="center"/>
            <w:hideMark/>
          </w:tcPr>
          <w:p w14:paraId="48D06E62" w14:textId="77777777" w:rsidR="00157D1C" w:rsidRPr="00D10DC0" w:rsidRDefault="00157D1C" w:rsidP="00157D1C">
            <w:pPr>
              <w:spacing w:after="0" w:line="240" w:lineRule="auto"/>
              <w:jc w:val="both"/>
              <w:rPr>
                <w:rFonts w:ascii="Cambria" w:hAnsi="Cambria" w:cstheme="minorHAnsi"/>
                <w:bCs/>
                <w:sz w:val="16"/>
                <w:szCs w:val="16"/>
              </w:rPr>
            </w:pPr>
            <w:r w:rsidRPr="00D10DC0">
              <w:rPr>
                <w:rFonts w:ascii="Cambria" w:hAnsi="Cambria" w:cstheme="minorHAnsi"/>
                <w:bCs/>
                <w:sz w:val="16"/>
                <w:szCs w:val="16"/>
              </w:rPr>
              <w:t>1100.03.00</w:t>
            </w:r>
          </w:p>
        </w:tc>
        <w:tc>
          <w:tcPr>
            <w:tcW w:w="1275" w:type="dxa"/>
            <w:tcBorders>
              <w:top w:val="single" w:sz="4" w:space="0" w:color="auto"/>
              <w:left w:val="single" w:sz="8" w:space="0" w:color="auto"/>
              <w:bottom w:val="single" w:sz="8" w:space="0" w:color="auto"/>
              <w:right w:val="single" w:sz="4" w:space="0" w:color="auto"/>
            </w:tcBorders>
            <w:shd w:val="clear" w:color="000000" w:fill="FAC090"/>
            <w:vAlign w:val="center"/>
            <w:hideMark/>
          </w:tcPr>
          <w:p w14:paraId="7F277C37" w14:textId="77777777" w:rsidR="00157D1C" w:rsidRPr="00D10DC0" w:rsidRDefault="00157D1C" w:rsidP="00157D1C">
            <w:pPr>
              <w:spacing w:after="0" w:line="240" w:lineRule="auto"/>
              <w:jc w:val="both"/>
              <w:rPr>
                <w:rFonts w:ascii="Cambria" w:hAnsi="Cambria" w:cstheme="minorHAnsi"/>
                <w:bCs/>
                <w:sz w:val="16"/>
                <w:szCs w:val="16"/>
              </w:rPr>
            </w:pPr>
            <w:r w:rsidRPr="00D10DC0">
              <w:rPr>
                <w:rFonts w:ascii="Cambria" w:hAnsi="Cambria" w:cstheme="minorHAnsi"/>
                <w:bCs/>
                <w:sz w:val="16"/>
                <w:szCs w:val="16"/>
              </w:rPr>
              <w:t>Политика в областта на активната двустранна и многостранна дипломация</w:t>
            </w:r>
          </w:p>
        </w:tc>
        <w:tc>
          <w:tcPr>
            <w:tcW w:w="1015" w:type="dxa"/>
            <w:tcBorders>
              <w:top w:val="nil"/>
              <w:left w:val="single" w:sz="4" w:space="0" w:color="auto"/>
              <w:bottom w:val="single" w:sz="8" w:space="0" w:color="auto"/>
              <w:right w:val="single" w:sz="8" w:space="0" w:color="auto"/>
            </w:tcBorders>
            <w:shd w:val="clear" w:color="auto" w:fill="FABF8F" w:themeFill="accent6" w:themeFillTint="99"/>
          </w:tcPr>
          <w:p w14:paraId="28D54949" w14:textId="73A9F398" w:rsidR="00157D1C" w:rsidRPr="00D10DC0" w:rsidRDefault="00157D1C" w:rsidP="008B4F81">
            <w:pPr>
              <w:jc w:val="right"/>
              <w:rPr>
                <w:rFonts w:ascii="Cambria" w:hAnsi="Cambria" w:cstheme="minorHAnsi"/>
                <w:sz w:val="16"/>
                <w:szCs w:val="16"/>
              </w:rPr>
            </w:pPr>
            <w:r w:rsidRPr="00D10DC0">
              <w:rPr>
                <w:rFonts w:ascii="Cambria" w:hAnsi="Cambria" w:cstheme="minorHAnsi"/>
                <w:sz w:val="16"/>
                <w:szCs w:val="16"/>
              </w:rPr>
              <w:t>20</w:t>
            </w:r>
            <w:r w:rsidR="008B4F81" w:rsidRPr="00D10DC0">
              <w:rPr>
                <w:rFonts w:ascii="Cambria" w:hAnsi="Cambria" w:cstheme="minorHAnsi"/>
                <w:sz w:val="16"/>
                <w:szCs w:val="16"/>
              </w:rPr>
              <w:t> </w:t>
            </w:r>
            <w:r w:rsidR="002F752F" w:rsidRPr="00D10DC0">
              <w:rPr>
                <w:rFonts w:ascii="Cambria" w:hAnsi="Cambria" w:cstheme="minorHAnsi"/>
                <w:sz w:val="16"/>
                <w:szCs w:val="16"/>
              </w:rPr>
              <w:t>92</w:t>
            </w:r>
            <w:r w:rsidR="008B4F81" w:rsidRPr="00D10DC0">
              <w:rPr>
                <w:rFonts w:ascii="Cambria" w:hAnsi="Cambria" w:cstheme="minorHAnsi"/>
                <w:sz w:val="16"/>
                <w:szCs w:val="16"/>
              </w:rPr>
              <w:t>0,5</w:t>
            </w:r>
          </w:p>
        </w:tc>
        <w:tc>
          <w:tcPr>
            <w:tcW w:w="1022" w:type="dxa"/>
            <w:tcBorders>
              <w:top w:val="nil"/>
              <w:left w:val="nil"/>
              <w:bottom w:val="single" w:sz="8" w:space="0" w:color="auto"/>
              <w:right w:val="single" w:sz="8" w:space="0" w:color="auto"/>
            </w:tcBorders>
            <w:shd w:val="clear" w:color="auto" w:fill="FABF8F" w:themeFill="accent6" w:themeFillTint="99"/>
          </w:tcPr>
          <w:p w14:paraId="19694060" w14:textId="4E89CD1C" w:rsidR="00157D1C" w:rsidRPr="00D10DC0" w:rsidRDefault="008B4F81" w:rsidP="00157D1C">
            <w:pPr>
              <w:jc w:val="right"/>
              <w:rPr>
                <w:rFonts w:ascii="Cambria" w:hAnsi="Cambria" w:cstheme="minorHAnsi"/>
                <w:sz w:val="16"/>
                <w:szCs w:val="16"/>
              </w:rPr>
            </w:pPr>
            <w:r w:rsidRPr="00D10DC0">
              <w:rPr>
                <w:rFonts w:ascii="Cambria" w:hAnsi="Cambria" w:cstheme="minorHAnsi"/>
                <w:sz w:val="16"/>
                <w:szCs w:val="16"/>
              </w:rPr>
              <w:t>16 903,12</w:t>
            </w:r>
          </w:p>
        </w:tc>
        <w:tc>
          <w:tcPr>
            <w:tcW w:w="1022" w:type="dxa"/>
            <w:tcBorders>
              <w:top w:val="nil"/>
              <w:left w:val="single" w:sz="8" w:space="0" w:color="auto"/>
              <w:bottom w:val="single" w:sz="8" w:space="0" w:color="auto"/>
              <w:right w:val="single" w:sz="8" w:space="0" w:color="auto"/>
            </w:tcBorders>
            <w:shd w:val="clear" w:color="auto" w:fill="FABF8F" w:themeFill="accent6" w:themeFillTint="99"/>
          </w:tcPr>
          <w:p w14:paraId="75D767F5" w14:textId="27446D93" w:rsidR="00157D1C" w:rsidRPr="00D10DC0" w:rsidRDefault="00D10DC0" w:rsidP="00157D1C">
            <w:pPr>
              <w:jc w:val="right"/>
              <w:rPr>
                <w:rFonts w:ascii="Cambria" w:hAnsi="Cambria" w:cstheme="minorHAnsi"/>
                <w:sz w:val="16"/>
                <w:szCs w:val="16"/>
              </w:rPr>
            </w:pPr>
            <w:r w:rsidRPr="00D10DC0">
              <w:rPr>
                <w:rFonts w:ascii="Cambria" w:hAnsi="Cambria" w:cstheme="minorHAnsi"/>
                <w:sz w:val="16"/>
                <w:szCs w:val="16"/>
              </w:rPr>
              <w:t>9 368,00</w:t>
            </w:r>
          </w:p>
        </w:tc>
        <w:tc>
          <w:tcPr>
            <w:tcW w:w="1021" w:type="dxa"/>
            <w:tcBorders>
              <w:top w:val="nil"/>
              <w:left w:val="nil"/>
              <w:bottom w:val="single" w:sz="8" w:space="0" w:color="auto"/>
              <w:right w:val="single" w:sz="8" w:space="0" w:color="auto"/>
            </w:tcBorders>
            <w:shd w:val="clear" w:color="auto" w:fill="FABF8F" w:themeFill="accent6" w:themeFillTint="99"/>
          </w:tcPr>
          <w:p w14:paraId="63BC0DF9" w14:textId="7B6B21C7" w:rsidR="00157D1C" w:rsidRPr="00D10DC0" w:rsidRDefault="00D10DC0" w:rsidP="00157D1C">
            <w:pPr>
              <w:jc w:val="right"/>
              <w:rPr>
                <w:rFonts w:ascii="Cambria" w:hAnsi="Cambria" w:cstheme="minorHAnsi"/>
                <w:sz w:val="16"/>
                <w:szCs w:val="16"/>
              </w:rPr>
            </w:pPr>
            <w:r w:rsidRPr="00D10DC0">
              <w:rPr>
                <w:rFonts w:ascii="Cambria" w:hAnsi="Cambria" w:cstheme="minorHAnsi"/>
                <w:sz w:val="16"/>
                <w:szCs w:val="16"/>
              </w:rPr>
              <w:t>366,30</w:t>
            </w:r>
          </w:p>
        </w:tc>
        <w:tc>
          <w:tcPr>
            <w:tcW w:w="1023" w:type="dxa"/>
            <w:tcBorders>
              <w:top w:val="nil"/>
              <w:left w:val="nil"/>
              <w:bottom w:val="single" w:sz="8" w:space="0" w:color="auto"/>
              <w:right w:val="single" w:sz="8" w:space="0" w:color="auto"/>
            </w:tcBorders>
            <w:shd w:val="clear" w:color="auto" w:fill="FDE9D9" w:themeFill="accent6" w:themeFillTint="33"/>
          </w:tcPr>
          <w:p w14:paraId="4070FFEB" w14:textId="399E8661" w:rsidR="00157D1C" w:rsidRPr="00D10DC0" w:rsidRDefault="008B4F81" w:rsidP="00157D1C">
            <w:pPr>
              <w:jc w:val="right"/>
              <w:rPr>
                <w:rFonts w:ascii="Cambria" w:hAnsi="Cambria" w:cstheme="minorHAnsi"/>
                <w:sz w:val="16"/>
                <w:szCs w:val="16"/>
              </w:rPr>
            </w:pPr>
            <w:r w:rsidRPr="00D10DC0">
              <w:rPr>
                <w:rFonts w:ascii="Cambria" w:hAnsi="Cambria" w:cstheme="minorHAnsi"/>
                <w:sz w:val="16"/>
                <w:szCs w:val="16"/>
              </w:rPr>
              <w:t>328,37</w:t>
            </w:r>
          </w:p>
        </w:tc>
        <w:tc>
          <w:tcPr>
            <w:tcW w:w="851" w:type="dxa"/>
            <w:tcBorders>
              <w:top w:val="nil"/>
              <w:left w:val="nil"/>
              <w:bottom w:val="single" w:sz="8" w:space="0" w:color="auto"/>
              <w:right w:val="single" w:sz="8" w:space="0" w:color="auto"/>
            </w:tcBorders>
            <w:shd w:val="clear" w:color="auto" w:fill="FABF8F" w:themeFill="accent6" w:themeFillTint="99"/>
            <w:vAlign w:val="center"/>
          </w:tcPr>
          <w:p w14:paraId="4A16BAE1" w14:textId="108C5187" w:rsidR="00157D1C" w:rsidRPr="00D10DC0" w:rsidRDefault="008B4F81" w:rsidP="00157D1C">
            <w:pPr>
              <w:jc w:val="right"/>
              <w:rPr>
                <w:rFonts w:ascii="Cambria" w:hAnsi="Cambria" w:cstheme="minorHAnsi"/>
                <w:b/>
                <w:bCs/>
                <w:sz w:val="16"/>
                <w:szCs w:val="16"/>
              </w:rPr>
            </w:pPr>
            <w:r w:rsidRPr="00D10DC0">
              <w:rPr>
                <w:rFonts w:ascii="Cambria" w:hAnsi="Cambria" w:cstheme="minorHAnsi"/>
                <w:b/>
                <w:bCs/>
                <w:sz w:val="16"/>
                <w:szCs w:val="16"/>
              </w:rPr>
              <w:t>37,93</w:t>
            </w:r>
            <w:r w:rsidR="00157D1C" w:rsidRPr="00D10DC0">
              <w:rPr>
                <w:rFonts w:ascii="Cambria" w:hAnsi="Cambria" w:cstheme="minorHAnsi"/>
                <w:b/>
                <w:bCs/>
                <w:sz w:val="16"/>
                <w:szCs w:val="16"/>
              </w:rPr>
              <w:t>0</w:t>
            </w:r>
          </w:p>
        </w:tc>
        <w:tc>
          <w:tcPr>
            <w:tcW w:w="786" w:type="dxa"/>
            <w:tcBorders>
              <w:top w:val="nil"/>
              <w:left w:val="nil"/>
              <w:bottom w:val="single" w:sz="8" w:space="0" w:color="auto"/>
              <w:right w:val="single" w:sz="8" w:space="0" w:color="auto"/>
            </w:tcBorders>
            <w:shd w:val="clear" w:color="auto" w:fill="FABF8F" w:themeFill="accent6" w:themeFillTint="99"/>
          </w:tcPr>
          <w:p w14:paraId="650C21C7" w14:textId="1E2B95A3" w:rsidR="00157D1C" w:rsidRPr="00D10DC0" w:rsidRDefault="008B4F81" w:rsidP="00157D1C">
            <w:pPr>
              <w:jc w:val="right"/>
              <w:rPr>
                <w:rFonts w:ascii="Cambria" w:hAnsi="Cambria" w:cstheme="minorHAnsi"/>
                <w:sz w:val="16"/>
                <w:szCs w:val="16"/>
              </w:rPr>
            </w:pPr>
            <w:r w:rsidRPr="00D10DC0">
              <w:rPr>
                <w:rFonts w:ascii="Cambria" w:hAnsi="Cambria" w:cstheme="minorHAnsi"/>
                <w:sz w:val="16"/>
                <w:szCs w:val="16"/>
              </w:rPr>
              <w:t>9 001,70</w:t>
            </w:r>
          </w:p>
        </w:tc>
        <w:tc>
          <w:tcPr>
            <w:tcW w:w="924" w:type="dxa"/>
            <w:tcBorders>
              <w:top w:val="nil"/>
              <w:left w:val="nil"/>
              <w:bottom w:val="single" w:sz="8" w:space="0" w:color="auto"/>
              <w:right w:val="single" w:sz="8" w:space="0" w:color="auto"/>
            </w:tcBorders>
            <w:shd w:val="clear" w:color="auto" w:fill="FDE9D9" w:themeFill="accent6" w:themeFillTint="33"/>
          </w:tcPr>
          <w:p w14:paraId="1D78B98B" w14:textId="3B9E5B5E" w:rsidR="00157D1C" w:rsidRPr="00D10DC0" w:rsidRDefault="008B4F81" w:rsidP="00157D1C">
            <w:pPr>
              <w:rPr>
                <w:rFonts w:ascii="Cambria" w:hAnsi="Cambria" w:cstheme="minorHAnsi"/>
                <w:sz w:val="16"/>
                <w:szCs w:val="16"/>
              </w:rPr>
            </w:pPr>
            <w:r w:rsidRPr="00D10DC0">
              <w:rPr>
                <w:rFonts w:ascii="Cambria" w:hAnsi="Cambria" w:cstheme="minorHAnsi"/>
                <w:sz w:val="16"/>
                <w:szCs w:val="16"/>
              </w:rPr>
              <w:t>9 001,70</w:t>
            </w:r>
          </w:p>
        </w:tc>
        <w:tc>
          <w:tcPr>
            <w:tcW w:w="938" w:type="dxa"/>
            <w:tcBorders>
              <w:top w:val="nil"/>
              <w:left w:val="nil"/>
              <w:bottom w:val="single" w:sz="8" w:space="0" w:color="auto"/>
              <w:right w:val="single" w:sz="8" w:space="0" w:color="auto"/>
            </w:tcBorders>
            <w:shd w:val="clear" w:color="auto" w:fill="FABF8F" w:themeFill="accent6" w:themeFillTint="99"/>
          </w:tcPr>
          <w:p w14:paraId="3B72D2B4" w14:textId="77777777" w:rsidR="00157D1C" w:rsidRPr="00D10DC0" w:rsidRDefault="00157D1C" w:rsidP="00157D1C">
            <w:pPr>
              <w:jc w:val="right"/>
              <w:rPr>
                <w:rFonts w:ascii="Cambria" w:hAnsi="Cambria" w:cstheme="minorHAnsi"/>
                <w:sz w:val="16"/>
                <w:szCs w:val="16"/>
              </w:rPr>
            </w:pPr>
            <w:r w:rsidRPr="00D10DC0">
              <w:rPr>
                <w:rFonts w:ascii="Cambria" w:hAnsi="Cambria" w:cstheme="minorHAnsi"/>
                <w:sz w:val="16"/>
                <w:szCs w:val="16"/>
              </w:rPr>
              <w:t>0</w:t>
            </w:r>
          </w:p>
        </w:tc>
      </w:tr>
    </w:tbl>
    <w:p w14:paraId="7EF9B5AB" w14:textId="77777777" w:rsidR="00C57C51" w:rsidRPr="00D10DC0" w:rsidRDefault="00C57C51" w:rsidP="00716035">
      <w:pPr>
        <w:spacing w:after="0" w:line="240" w:lineRule="auto"/>
        <w:jc w:val="both"/>
        <w:rPr>
          <w:rFonts w:ascii="Cambria" w:hAnsi="Cambria" w:cstheme="minorHAnsi"/>
          <w:b/>
          <w:i/>
        </w:rPr>
      </w:pPr>
    </w:p>
    <w:p w14:paraId="4CBB4F44" w14:textId="77777777" w:rsidR="00C57C51" w:rsidRPr="00D10DC0" w:rsidRDefault="00C57C51" w:rsidP="00716035">
      <w:pPr>
        <w:spacing w:after="0" w:line="240" w:lineRule="auto"/>
        <w:jc w:val="both"/>
        <w:rPr>
          <w:rFonts w:ascii="Cambria" w:hAnsi="Cambria" w:cstheme="minorHAnsi"/>
          <w:b/>
          <w:i/>
        </w:rPr>
      </w:pPr>
    </w:p>
    <w:p w14:paraId="57774E22" w14:textId="541710EF" w:rsidR="00DB0CA6" w:rsidRDefault="00DB0CA6" w:rsidP="00716035">
      <w:pPr>
        <w:spacing w:after="0" w:line="240" w:lineRule="auto"/>
        <w:ind w:firstLine="708"/>
        <w:jc w:val="both"/>
        <w:rPr>
          <w:rFonts w:ascii="Cambria" w:hAnsi="Cambria" w:cstheme="minorHAnsi"/>
          <w:b/>
          <w:i/>
        </w:rPr>
      </w:pPr>
    </w:p>
    <w:p w14:paraId="13F19544" w14:textId="7E7C6082" w:rsidR="00D10DC0" w:rsidRDefault="00D10DC0" w:rsidP="00716035">
      <w:pPr>
        <w:spacing w:after="0" w:line="240" w:lineRule="auto"/>
        <w:ind w:firstLine="708"/>
        <w:jc w:val="both"/>
        <w:rPr>
          <w:rFonts w:ascii="Cambria" w:hAnsi="Cambria" w:cstheme="minorHAnsi"/>
          <w:b/>
          <w:i/>
        </w:rPr>
      </w:pPr>
    </w:p>
    <w:p w14:paraId="048F4B19" w14:textId="2583CEBC" w:rsidR="00D10DC0" w:rsidRDefault="00D10DC0" w:rsidP="00716035">
      <w:pPr>
        <w:spacing w:after="0" w:line="240" w:lineRule="auto"/>
        <w:ind w:firstLine="708"/>
        <w:jc w:val="both"/>
        <w:rPr>
          <w:rFonts w:ascii="Cambria" w:hAnsi="Cambria" w:cstheme="minorHAnsi"/>
          <w:b/>
          <w:i/>
        </w:rPr>
      </w:pPr>
    </w:p>
    <w:p w14:paraId="4C9EDADD" w14:textId="77777777" w:rsidR="00D10DC0" w:rsidRPr="00823FED" w:rsidRDefault="00D10DC0" w:rsidP="00716035">
      <w:pPr>
        <w:spacing w:after="0" w:line="240" w:lineRule="auto"/>
        <w:ind w:firstLine="708"/>
        <w:jc w:val="both"/>
        <w:rPr>
          <w:rFonts w:ascii="Cambria" w:hAnsi="Cambria" w:cstheme="minorHAnsi"/>
          <w:b/>
          <w:i/>
        </w:rPr>
      </w:pPr>
    </w:p>
    <w:p w14:paraId="16FD4D24" w14:textId="1BAB2D5B" w:rsidR="00091C5B" w:rsidRPr="00823FED" w:rsidRDefault="00D545AA" w:rsidP="00716035">
      <w:pPr>
        <w:shd w:val="clear" w:color="auto" w:fill="FBD4B4" w:themeFill="accent6" w:themeFillTint="66"/>
        <w:spacing w:after="0" w:line="240" w:lineRule="auto"/>
        <w:jc w:val="both"/>
        <w:rPr>
          <w:rFonts w:ascii="Cambria" w:hAnsi="Cambria" w:cstheme="minorHAnsi"/>
          <w:b/>
          <w:caps/>
          <w:color w:val="000000"/>
        </w:rPr>
      </w:pPr>
      <w:r w:rsidRPr="00823FED">
        <w:rPr>
          <w:rFonts w:ascii="Cambria" w:hAnsi="Cambria" w:cstheme="minorHAnsi"/>
          <w:b/>
          <w:caps/>
          <w:shd w:val="clear" w:color="auto" w:fill="FBD4B4" w:themeFill="accent6" w:themeFillTint="66"/>
        </w:rPr>
        <w:lastRenderedPageBreak/>
        <w:t xml:space="preserve">Област на политика: </w:t>
      </w:r>
      <w:r w:rsidR="00C131A1" w:rsidRPr="00823FED">
        <w:rPr>
          <w:rFonts w:ascii="Cambria" w:hAnsi="Cambria" w:cstheme="minorHAnsi"/>
          <w:b/>
          <w:caps/>
          <w:color w:val="000000"/>
          <w:shd w:val="clear" w:color="auto" w:fill="FBD4B4" w:themeFill="accent6" w:themeFillTint="66"/>
        </w:rPr>
        <w:t>„Развитие на ефективна дипломатическа</w:t>
      </w:r>
      <w:r w:rsidR="00C131A1" w:rsidRPr="00823FED">
        <w:rPr>
          <w:rFonts w:ascii="Cambria" w:hAnsi="Cambria" w:cstheme="minorHAnsi"/>
          <w:b/>
          <w:caps/>
          <w:color w:val="000000"/>
        </w:rPr>
        <w:t xml:space="preserve"> служба”</w:t>
      </w:r>
    </w:p>
    <w:p w14:paraId="0E8508F1" w14:textId="77777777" w:rsidR="00191852" w:rsidRPr="00823FED" w:rsidRDefault="00191852" w:rsidP="00716035">
      <w:pPr>
        <w:spacing w:after="0" w:line="240" w:lineRule="auto"/>
        <w:ind w:firstLine="708"/>
        <w:jc w:val="both"/>
        <w:rPr>
          <w:rFonts w:ascii="Cambria" w:hAnsi="Cambria" w:cstheme="minorHAnsi"/>
        </w:rPr>
      </w:pPr>
    </w:p>
    <w:p w14:paraId="20B4B522" w14:textId="75DA2C76" w:rsidR="00B740F1" w:rsidRPr="00823FED" w:rsidRDefault="00A11BE2" w:rsidP="00716035">
      <w:pPr>
        <w:spacing w:after="0" w:line="240" w:lineRule="auto"/>
        <w:ind w:firstLine="432"/>
        <w:jc w:val="both"/>
        <w:rPr>
          <w:rFonts w:ascii="Cambria" w:hAnsi="Cambria" w:cstheme="minorHAnsi"/>
        </w:rPr>
      </w:pPr>
      <w:r w:rsidRPr="00823FED">
        <w:rPr>
          <w:rFonts w:ascii="Cambria" w:hAnsi="Cambria" w:cstheme="minorHAnsi"/>
        </w:rPr>
        <w:t>През първото полугодие на 2021 г. МВнР продължи да осъществява своята дейност, на базата на прецизен анализ, планиране и реализиране на подбора, развитието и квалификацията на служителите, с цел подобряване на ефективността в работа на структурните звена на министерството, в изпълнение на външнополитическите приоритети на страната</w:t>
      </w:r>
      <w:r w:rsidR="00546319" w:rsidRPr="00823FED">
        <w:rPr>
          <w:rFonts w:ascii="Cambria" w:hAnsi="Cambria" w:cstheme="minorHAnsi"/>
        </w:rPr>
        <w:t>. През отчетния период продължи процесът по управление на професионално</w:t>
      </w:r>
      <w:r w:rsidR="00D10DC0">
        <w:rPr>
          <w:rFonts w:ascii="Cambria" w:hAnsi="Cambria" w:cstheme="minorHAnsi"/>
        </w:rPr>
        <w:t>-</w:t>
      </w:r>
      <w:r w:rsidR="00546319" w:rsidRPr="00823FED">
        <w:rPr>
          <w:rFonts w:ascii="Cambria" w:hAnsi="Cambria" w:cstheme="minorHAnsi"/>
        </w:rPr>
        <w:t xml:space="preserve"> кариерно развитие на дипломатическите служители, усъвършенстването на професионалната и езикова квалификация на служителите в дипломатическата служба, повишаването в дипломатически ранг, годишното атестиране на служителите и ежегодната ротация в дипломатическата служба</w:t>
      </w:r>
      <w:r w:rsidR="00B740F1" w:rsidRPr="00823FED">
        <w:rPr>
          <w:rFonts w:ascii="Cambria" w:hAnsi="Cambria" w:cstheme="minorHAnsi"/>
        </w:rPr>
        <w:t xml:space="preserve">. </w:t>
      </w:r>
    </w:p>
    <w:p w14:paraId="4F9599F0" w14:textId="77777777" w:rsidR="00A11BE2" w:rsidRPr="00823FED" w:rsidRDefault="00A11BE2" w:rsidP="00716035">
      <w:pPr>
        <w:spacing w:after="0" w:line="240" w:lineRule="auto"/>
        <w:ind w:firstLine="432"/>
        <w:jc w:val="both"/>
        <w:rPr>
          <w:rFonts w:ascii="Cambria" w:hAnsi="Cambria" w:cstheme="minorHAnsi"/>
        </w:rPr>
      </w:pPr>
      <w:r w:rsidRPr="00823FED">
        <w:rPr>
          <w:rFonts w:ascii="Cambria" w:hAnsi="Cambria" w:cstheme="minorHAnsi"/>
        </w:rPr>
        <w:t xml:space="preserve">За подобряване </w:t>
      </w:r>
      <w:r w:rsidR="00CD07DE" w:rsidRPr="00823FED">
        <w:rPr>
          <w:rFonts w:ascii="Cambria" w:hAnsi="Cambria" w:cstheme="minorHAnsi"/>
        </w:rPr>
        <w:t xml:space="preserve">функционирането </w:t>
      </w:r>
      <w:r w:rsidRPr="00823FED">
        <w:rPr>
          <w:rFonts w:ascii="Cambria" w:hAnsi="Cambria" w:cstheme="minorHAnsi"/>
        </w:rPr>
        <w:t>на ведомството</w:t>
      </w:r>
      <w:r w:rsidR="00CD07DE" w:rsidRPr="00823FED">
        <w:rPr>
          <w:rFonts w:ascii="Cambria" w:hAnsi="Cambria" w:cstheme="minorHAnsi"/>
        </w:rPr>
        <w:t>,</w:t>
      </w:r>
      <w:r w:rsidRPr="00823FED">
        <w:rPr>
          <w:rFonts w:ascii="Cambria" w:hAnsi="Cambria" w:cstheme="minorHAnsi"/>
        </w:rPr>
        <w:t xml:space="preserve"> продължиха дейностите за оптимизиране на електронната документооборота система в министерството и междуведомствената административна комуникация. </w:t>
      </w:r>
    </w:p>
    <w:p w14:paraId="393F7C0E" w14:textId="77777777" w:rsidR="00CD07DE" w:rsidRPr="00823FED" w:rsidRDefault="00B740F1" w:rsidP="00716035">
      <w:pPr>
        <w:spacing w:after="0" w:line="240" w:lineRule="auto"/>
        <w:ind w:firstLine="432"/>
        <w:jc w:val="both"/>
        <w:rPr>
          <w:rFonts w:ascii="Cambria" w:hAnsi="Cambria" w:cstheme="minorHAnsi"/>
        </w:rPr>
      </w:pPr>
      <w:r w:rsidRPr="00823FED">
        <w:rPr>
          <w:rFonts w:ascii="Cambria" w:hAnsi="Cambria" w:cstheme="minorHAnsi"/>
        </w:rPr>
        <w:t>Продължиха постоянните усилия за развитие и поддържане на информационните и техническите способности в МВнР, в т.ч. и българските задгранични представителства.</w:t>
      </w:r>
      <w:r w:rsidR="00212C89" w:rsidRPr="00823FED">
        <w:rPr>
          <w:rFonts w:ascii="Cambria" w:hAnsi="Cambria" w:cstheme="minorHAnsi"/>
        </w:rPr>
        <w:t xml:space="preserve"> </w:t>
      </w:r>
    </w:p>
    <w:p w14:paraId="53870631" w14:textId="77777777" w:rsidR="00B740F1" w:rsidRPr="00823FED" w:rsidRDefault="00A11BE2" w:rsidP="00716035">
      <w:pPr>
        <w:spacing w:after="0" w:line="240" w:lineRule="auto"/>
        <w:ind w:firstLine="432"/>
        <w:jc w:val="both"/>
        <w:rPr>
          <w:rFonts w:ascii="Cambria" w:hAnsi="Cambria" w:cstheme="minorHAnsi"/>
        </w:rPr>
      </w:pPr>
      <w:r w:rsidRPr="00823FED">
        <w:rPr>
          <w:rFonts w:ascii="Cambria" w:hAnsi="Cambria" w:cstheme="minorHAnsi"/>
        </w:rPr>
        <w:t xml:space="preserve">Предвид продължаващата пандемична обстановка, продължи </w:t>
      </w:r>
      <w:r w:rsidR="00212C89" w:rsidRPr="00823FED">
        <w:rPr>
          <w:rFonts w:ascii="Cambria" w:hAnsi="Cambria" w:cstheme="minorHAnsi"/>
        </w:rPr>
        <w:t>работата на 24-часов</w:t>
      </w:r>
      <w:r w:rsidRPr="00823FED">
        <w:rPr>
          <w:rFonts w:ascii="Cambria" w:hAnsi="Cambria" w:cstheme="minorHAnsi"/>
        </w:rPr>
        <w:t>ия</w:t>
      </w:r>
      <w:r w:rsidR="00212C89" w:rsidRPr="00823FED">
        <w:rPr>
          <w:rFonts w:ascii="Cambria" w:hAnsi="Cambria" w:cstheme="minorHAnsi"/>
        </w:rPr>
        <w:t xml:space="preserve">  </w:t>
      </w:r>
      <w:r w:rsidR="006736E4" w:rsidRPr="00823FED">
        <w:rPr>
          <w:rFonts w:ascii="Cambria" w:hAnsi="Cambria" w:cstheme="minorHAnsi"/>
          <w:bCs/>
          <w:iCs/>
        </w:rPr>
        <w:t xml:space="preserve">информационен </w:t>
      </w:r>
      <w:proofErr w:type="spellStart"/>
      <w:r w:rsidR="006736E4" w:rsidRPr="00823FED">
        <w:rPr>
          <w:rFonts w:ascii="Cambria" w:hAnsi="Cambria" w:cstheme="minorHAnsi"/>
          <w:bCs/>
          <w:iCs/>
        </w:rPr>
        <w:t>кол</w:t>
      </w:r>
      <w:r w:rsidR="00212C89" w:rsidRPr="00823FED">
        <w:rPr>
          <w:rFonts w:ascii="Cambria" w:hAnsi="Cambria" w:cstheme="minorHAnsi"/>
          <w:bCs/>
          <w:iCs/>
        </w:rPr>
        <w:t>център</w:t>
      </w:r>
      <w:proofErr w:type="spellEnd"/>
      <w:r w:rsidR="00212C89" w:rsidRPr="00823FED">
        <w:rPr>
          <w:rFonts w:ascii="Cambria" w:hAnsi="Cambria" w:cstheme="minorHAnsi"/>
          <w:bCs/>
          <w:iCs/>
        </w:rPr>
        <w:t xml:space="preserve"> в МВнР, на който гражданите получават денонощно информация и/или подават сигнали в случай на криза или</w:t>
      </w:r>
      <w:r w:rsidR="006736E4" w:rsidRPr="00823FED">
        <w:rPr>
          <w:rFonts w:ascii="Cambria" w:hAnsi="Cambria" w:cstheme="minorHAnsi"/>
          <w:bCs/>
          <w:iCs/>
        </w:rPr>
        <w:t xml:space="preserve"> инцидент</w:t>
      </w:r>
      <w:r w:rsidR="00212C89" w:rsidRPr="00823FED">
        <w:rPr>
          <w:rFonts w:ascii="Cambria" w:hAnsi="Cambria" w:cstheme="minorHAnsi"/>
          <w:bCs/>
          <w:iCs/>
        </w:rPr>
        <w:t>.</w:t>
      </w:r>
      <w:r w:rsidR="00B740F1" w:rsidRPr="00823FED">
        <w:rPr>
          <w:rFonts w:ascii="Cambria" w:hAnsi="Cambria" w:cstheme="minorHAnsi"/>
        </w:rPr>
        <w:t xml:space="preserve"> </w:t>
      </w:r>
      <w:r w:rsidRPr="00823FED">
        <w:rPr>
          <w:rFonts w:ascii="Cambria" w:hAnsi="Cambria" w:cstheme="minorHAnsi"/>
        </w:rPr>
        <w:t xml:space="preserve">Също така продължи поддържането и своевременното </w:t>
      </w:r>
      <w:r w:rsidR="00546319" w:rsidRPr="00823FED">
        <w:rPr>
          <w:rFonts w:ascii="Cambria" w:hAnsi="Cambria" w:cstheme="minorHAnsi"/>
        </w:rPr>
        <w:t>актуализиране</w:t>
      </w:r>
      <w:r w:rsidRPr="00823FED">
        <w:rPr>
          <w:rFonts w:ascii="Cambria" w:hAnsi="Cambria" w:cstheme="minorHAnsi"/>
        </w:rPr>
        <w:t xml:space="preserve"> на</w:t>
      </w:r>
      <w:r w:rsidR="00212C89" w:rsidRPr="00823FED">
        <w:rPr>
          <w:rFonts w:ascii="Cambria" w:hAnsi="Cambria" w:cstheme="minorHAnsi"/>
        </w:rPr>
        <w:t xml:space="preserve"> </w:t>
      </w:r>
      <w:r w:rsidR="00212C89" w:rsidRPr="00823FED">
        <w:rPr>
          <w:rFonts w:ascii="Cambria" w:hAnsi="Cambria" w:cstheme="minorHAnsi"/>
          <w:bCs/>
          <w:iCs/>
        </w:rPr>
        <w:t>интерактивна</w:t>
      </w:r>
      <w:r w:rsidRPr="00823FED">
        <w:rPr>
          <w:rFonts w:ascii="Cambria" w:hAnsi="Cambria" w:cstheme="minorHAnsi"/>
          <w:bCs/>
          <w:iCs/>
        </w:rPr>
        <w:t>та</w:t>
      </w:r>
      <w:r w:rsidR="00212C89" w:rsidRPr="00823FED">
        <w:rPr>
          <w:rFonts w:ascii="Cambria" w:hAnsi="Cambria" w:cstheme="minorHAnsi"/>
          <w:bCs/>
          <w:iCs/>
        </w:rPr>
        <w:t xml:space="preserve"> карта на света на интернет страницата на МВнР – „Корона</w:t>
      </w:r>
      <w:r w:rsidR="00DC02F3" w:rsidRPr="00823FED">
        <w:rPr>
          <w:rFonts w:ascii="Cambria" w:hAnsi="Cambria" w:cstheme="minorHAnsi"/>
          <w:bCs/>
          <w:iCs/>
        </w:rPr>
        <w:t xml:space="preserve"> </w:t>
      </w:r>
      <w:r w:rsidR="00212C89" w:rsidRPr="00823FED">
        <w:rPr>
          <w:rFonts w:ascii="Cambria" w:hAnsi="Cambria" w:cstheme="minorHAnsi"/>
          <w:bCs/>
          <w:iCs/>
        </w:rPr>
        <w:t xml:space="preserve">вирусът – как да пътуваме“, в която се помества и актуализира 24/7 </w:t>
      </w:r>
      <w:r w:rsidRPr="00823FED">
        <w:rPr>
          <w:rFonts w:ascii="Cambria" w:hAnsi="Cambria" w:cstheme="minorHAnsi"/>
          <w:bCs/>
          <w:iCs/>
        </w:rPr>
        <w:t xml:space="preserve">с </w:t>
      </w:r>
      <w:r w:rsidR="00212C89" w:rsidRPr="00823FED">
        <w:rPr>
          <w:rFonts w:ascii="Cambria" w:hAnsi="Cambria" w:cstheme="minorHAnsi"/>
          <w:bCs/>
          <w:iCs/>
        </w:rPr>
        <w:t>информация за условията и мерките за пътуване в условията на пандемията за всяка една държава</w:t>
      </w:r>
      <w:r w:rsidR="00212C89" w:rsidRPr="00823FED">
        <w:rPr>
          <w:rFonts w:ascii="Cambria" w:hAnsi="Cambria" w:cstheme="minorHAnsi"/>
        </w:rPr>
        <w:t>.</w:t>
      </w:r>
      <w:r w:rsidR="00B740F1" w:rsidRPr="00823FED">
        <w:rPr>
          <w:rFonts w:ascii="Cambria" w:hAnsi="Cambria" w:cstheme="minorHAnsi"/>
        </w:rPr>
        <w:t xml:space="preserve"> </w:t>
      </w:r>
    </w:p>
    <w:p w14:paraId="7E056F39" w14:textId="77777777" w:rsidR="00812B10" w:rsidRPr="00823FED" w:rsidRDefault="00812B10" w:rsidP="00716035">
      <w:pPr>
        <w:spacing w:after="0" w:line="240" w:lineRule="auto"/>
        <w:jc w:val="both"/>
        <w:rPr>
          <w:rFonts w:ascii="Cambria" w:hAnsi="Cambria" w:cstheme="minorHAnsi"/>
        </w:rPr>
      </w:pPr>
    </w:p>
    <w:tbl>
      <w:tblPr>
        <w:tblStyle w:val="TableGrid"/>
        <w:tblW w:w="9355" w:type="dxa"/>
        <w:tblLook w:val="04A0" w:firstRow="1" w:lastRow="0" w:firstColumn="1" w:lastColumn="0" w:noHBand="0" w:noVBand="1"/>
      </w:tblPr>
      <w:tblGrid>
        <w:gridCol w:w="2965"/>
        <w:gridCol w:w="3150"/>
        <w:gridCol w:w="3240"/>
      </w:tblGrid>
      <w:tr w:rsidR="00DB7021" w:rsidRPr="00823FED" w14:paraId="313323B9" w14:textId="77777777" w:rsidTr="00DB7021">
        <w:tc>
          <w:tcPr>
            <w:tcW w:w="9355" w:type="dxa"/>
            <w:gridSpan w:val="3"/>
            <w:shd w:val="clear" w:color="auto" w:fill="FABF8F" w:themeFill="accent6" w:themeFillTint="99"/>
          </w:tcPr>
          <w:p w14:paraId="3188CD5A" w14:textId="77777777" w:rsidR="00DB7021" w:rsidRPr="00823FED" w:rsidRDefault="00DB7021" w:rsidP="00716035">
            <w:pPr>
              <w:jc w:val="center"/>
              <w:rPr>
                <w:rFonts w:ascii="Cambria" w:hAnsi="Cambria" w:cstheme="minorHAnsi"/>
                <w:b/>
                <w:iCs/>
              </w:rPr>
            </w:pPr>
            <w:r w:rsidRPr="00823FED">
              <w:rPr>
                <w:rFonts w:ascii="Cambria" w:hAnsi="Cambria" w:cstheme="minorHAnsi"/>
                <w:b/>
                <w:bCs/>
              </w:rPr>
              <w:t>КЛЮЧОВИ ИНДИКАТОРИ ЗА ИЗПЪЛНЕНИЕ И ЦЕЛЕВИ СТОЙНОСТИ</w:t>
            </w:r>
          </w:p>
          <w:p w14:paraId="683AC20C" w14:textId="77777777" w:rsidR="00DB7021" w:rsidRPr="00823FED" w:rsidRDefault="00DB7021" w:rsidP="00716035">
            <w:pPr>
              <w:jc w:val="center"/>
              <w:rPr>
                <w:rFonts w:ascii="Cambria" w:hAnsi="Cambria" w:cstheme="minorHAnsi"/>
                <w:b/>
                <w:bCs/>
                <w:iCs/>
              </w:rPr>
            </w:pPr>
            <w:r w:rsidRPr="00823FED">
              <w:rPr>
                <w:rFonts w:ascii="Cambria" w:hAnsi="Cambria" w:cstheme="minorHAnsi"/>
                <w:b/>
                <w:iCs/>
              </w:rPr>
              <w:t>Област на политика „Развитие на ефективна дипломатическа служба“</w:t>
            </w:r>
          </w:p>
        </w:tc>
      </w:tr>
      <w:tr w:rsidR="00DB7021" w:rsidRPr="00823FED" w14:paraId="7C6DA7C0" w14:textId="77777777" w:rsidTr="00DB7021">
        <w:tc>
          <w:tcPr>
            <w:tcW w:w="2965" w:type="dxa"/>
            <w:shd w:val="clear" w:color="auto" w:fill="FABF8F" w:themeFill="accent6" w:themeFillTint="99"/>
          </w:tcPr>
          <w:p w14:paraId="11EE3020" w14:textId="77777777" w:rsidR="00DB7021" w:rsidRPr="00823FED" w:rsidRDefault="00DB7021" w:rsidP="00716035">
            <w:pPr>
              <w:jc w:val="both"/>
              <w:rPr>
                <w:rFonts w:ascii="Cambria" w:hAnsi="Cambria" w:cstheme="minorHAnsi"/>
              </w:rPr>
            </w:pPr>
            <w:r w:rsidRPr="00823FED">
              <w:rPr>
                <w:rFonts w:ascii="Cambria" w:hAnsi="Cambria" w:cstheme="minorHAnsi"/>
                <w:b/>
                <w:bCs/>
              </w:rPr>
              <w:t>Наименование на индикатора</w:t>
            </w:r>
          </w:p>
        </w:tc>
        <w:tc>
          <w:tcPr>
            <w:tcW w:w="3150" w:type="dxa"/>
            <w:shd w:val="clear" w:color="auto" w:fill="FABF8F" w:themeFill="accent6" w:themeFillTint="99"/>
          </w:tcPr>
          <w:p w14:paraId="79B8ECC6" w14:textId="77777777" w:rsidR="00DB7021" w:rsidRPr="00823FED" w:rsidRDefault="00DB7021" w:rsidP="00716035">
            <w:pPr>
              <w:jc w:val="both"/>
              <w:rPr>
                <w:rFonts w:ascii="Cambria" w:hAnsi="Cambria" w:cstheme="minorHAnsi"/>
              </w:rPr>
            </w:pPr>
            <w:r w:rsidRPr="00823FED">
              <w:rPr>
                <w:rFonts w:ascii="Cambria" w:hAnsi="Cambria" w:cstheme="minorHAnsi"/>
                <w:b/>
                <w:bCs/>
              </w:rPr>
              <w:t>Мерна единица</w:t>
            </w:r>
          </w:p>
        </w:tc>
        <w:tc>
          <w:tcPr>
            <w:tcW w:w="3240" w:type="dxa"/>
            <w:shd w:val="clear" w:color="auto" w:fill="FABF8F" w:themeFill="accent6" w:themeFillTint="99"/>
          </w:tcPr>
          <w:p w14:paraId="46606E20" w14:textId="77777777" w:rsidR="00DB7021" w:rsidRPr="00823FED" w:rsidRDefault="00212C89" w:rsidP="00F22D0F">
            <w:pPr>
              <w:jc w:val="both"/>
              <w:rPr>
                <w:rFonts w:ascii="Cambria" w:hAnsi="Cambria" w:cstheme="minorHAnsi"/>
              </w:rPr>
            </w:pPr>
            <w:r w:rsidRPr="00823FED">
              <w:rPr>
                <w:rFonts w:ascii="Cambria" w:hAnsi="Cambria" w:cstheme="minorHAnsi"/>
                <w:b/>
                <w:bCs/>
                <w:iCs/>
              </w:rPr>
              <w:t>Отчет</w:t>
            </w:r>
            <w:r w:rsidR="00DB7021" w:rsidRPr="00823FED">
              <w:rPr>
                <w:rFonts w:ascii="Cambria" w:hAnsi="Cambria" w:cstheme="minorHAnsi"/>
                <w:b/>
                <w:bCs/>
                <w:iCs/>
              </w:rPr>
              <w:t xml:space="preserve"> </w:t>
            </w:r>
            <w:r w:rsidR="00F22D0F" w:rsidRPr="00823FED">
              <w:rPr>
                <w:rFonts w:ascii="Cambria" w:hAnsi="Cambria" w:cstheme="minorHAnsi"/>
                <w:b/>
                <w:bCs/>
                <w:iCs/>
              </w:rPr>
              <w:t xml:space="preserve">полугодие </w:t>
            </w:r>
            <w:r w:rsidR="00DB7021" w:rsidRPr="00823FED">
              <w:rPr>
                <w:rFonts w:ascii="Cambria" w:hAnsi="Cambria" w:cstheme="minorHAnsi"/>
                <w:b/>
                <w:bCs/>
                <w:iCs/>
              </w:rPr>
              <w:t>20</w:t>
            </w:r>
            <w:r w:rsidRPr="00823FED">
              <w:rPr>
                <w:rFonts w:ascii="Cambria" w:hAnsi="Cambria" w:cstheme="minorHAnsi"/>
                <w:b/>
                <w:bCs/>
                <w:iCs/>
              </w:rPr>
              <w:t>2</w:t>
            </w:r>
            <w:r w:rsidR="00F22D0F" w:rsidRPr="00823FED">
              <w:rPr>
                <w:rFonts w:ascii="Cambria" w:hAnsi="Cambria" w:cstheme="minorHAnsi"/>
                <w:b/>
                <w:bCs/>
                <w:iCs/>
              </w:rPr>
              <w:t>1</w:t>
            </w:r>
            <w:r w:rsidR="00DB7021" w:rsidRPr="00823FED">
              <w:rPr>
                <w:rFonts w:ascii="Cambria" w:hAnsi="Cambria" w:cstheme="minorHAnsi"/>
                <w:b/>
                <w:bCs/>
                <w:iCs/>
              </w:rPr>
              <w:t xml:space="preserve"> г.</w:t>
            </w:r>
          </w:p>
        </w:tc>
      </w:tr>
      <w:tr w:rsidR="00F22D0F" w:rsidRPr="00823FED" w14:paraId="3D53E826" w14:textId="77777777" w:rsidTr="00DB7021">
        <w:tc>
          <w:tcPr>
            <w:tcW w:w="2965" w:type="dxa"/>
          </w:tcPr>
          <w:p w14:paraId="15C960B2" w14:textId="77777777" w:rsidR="00F22D0F" w:rsidRPr="00823FED" w:rsidRDefault="00F22D0F" w:rsidP="00F22D0F">
            <w:pPr>
              <w:rPr>
                <w:rFonts w:ascii="Cambria" w:hAnsi="Cambria" w:cstheme="minorHAnsi"/>
                <w:b/>
              </w:rPr>
            </w:pPr>
            <w:r w:rsidRPr="00823FED">
              <w:rPr>
                <w:rFonts w:ascii="Cambria" w:hAnsi="Cambria" w:cstheme="minorHAnsi"/>
                <w:b/>
              </w:rPr>
              <w:t>Управление на човешките ресурси</w:t>
            </w:r>
          </w:p>
        </w:tc>
        <w:tc>
          <w:tcPr>
            <w:tcW w:w="3150" w:type="dxa"/>
          </w:tcPr>
          <w:p w14:paraId="698F4E86" w14:textId="77777777" w:rsidR="00F22D0F" w:rsidRPr="00823FED" w:rsidRDefault="00F22D0F" w:rsidP="00F22D0F">
            <w:pPr>
              <w:rPr>
                <w:rFonts w:ascii="Cambria" w:hAnsi="Cambria" w:cstheme="minorHAnsi"/>
              </w:rPr>
            </w:pPr>
            <w:r w:rsidRPr="00823FED">
              <w:rPr>
                <w:rFonts w:ascii="Cambria" w:hAnsi="Cambria" w:cstheme="minorHAnsi"/>
              </w:rPr>
              <w:t>Заседания на Кариерна комисия</w:t>
            </w:r>
          </w:p>
        </w:tc>
        <w:tc>
          <w:tcPr>
            <w:tcW w:w="3240" w:type="dxa"/>
          </w:tcPr>
          <w:p w14:paraId="39C45DEC" w14:textId="77777777" w:rsidR="00F22D0F" w:rsidRPr="00823FED" w:rsidRDefault="00F22D0F" w:rsidP="00F22D0F">
            <w:pPr>
              <w:rPr>
                <w:rFonts w:ascii="Cambria" w:hAnsi="Cambria" w:cstheme="minorHAnsi"/>
              </w:rPr>
            </w:pPr>
            <w:r w:rsidRPr="00823FED">
              <w:rPr>
                <w:rFonts w:ascii="Cambria" w:hAnsi="Cambria" w:cstheme="minorHAnsi"/>
              </w:rPr>
              <w:t>3</w:t>
            </w:r>
          </w:p>
        </w:tc>
      </w:tr>
      <w:tr w:rsidR="00F22D0F" w:rsidRPr="00823FED" w14:paraId="593D3D98" w14:textId="77777777" w:rsidTr="00F22D0F">
        <w:trPr>
          <w:trHeight w:val="1226"/>
        </w:trPr>
        <w:tc>
          <w:tcPr>
            <w:tcW w:w="2965" w:type="dxa"/>
          </w:tcPr>
          <w:p w14:paraId="6037AEEF" w14:textId="0645EBE0" w:rsidR="00F22D0F" w:rsidRPr="00823FED" w:rsidRDefault="00F22D0F" w:rsidP="00D10DC0">
            <w:pPr>
              <w:rPr>
                <w:rFonts w:ascii="Cambria" w:hAnsi="Cambria" w:cstheme="minorHAnsi"/>
                <w:b/>
              </w:rPr>
            </w:pPr>
            <w:r w:rsidRPr="00823FED">
              <w:rPr>
                <w:rFonts w:ascii="Cambria" w:hAnsi="Cambria" w:cstheme="minorHAnsi"/>
                <w:b/>
              </w:rPr>
              <w:t xml:space="preserve">Оптимално управление и поддръжка на сградния фонд </w:t>
            </w:r>
          </w:p>
        </w:tc>
        <w:tc>
          <w:tcPr>
            <w:tcW w:w="3150" w:type="dxa"/>
          </w:tcPr>
          <w:p w14:paraId="533EF45E" w14:textId="77777777" w:rsidR="00F22D0F" w:rsidRPr="00823FED" w:rsidRDefault="00F22D0F" w:rsidP="00F22D0F">
            <w:pPr>
              <w:rPr>
                <w:rFonts w:ascii="Cambria" w:hAnsi="Cambria" w:cstheme="minorHAnsi"/>
              </w:rPr>
            </w:pPr>
            <w:r w:rsidRPr="00823FED">
              <w:rPr>
                <w:rFonts w:ascii="Cambria" w:hAnsi="Cambria" w:cstheme="minorHAnsi"/>
              </w:rPr>
              <w:t xml:space="preserve">Планови ремонти </w:t>
            </w:r>
          </w:p>
        </w:tc>
        <w:tc>
          <w:tcPr>
            <w:tcW w:w="3240" w:type="dxa"/>
          </w:tcPr>
          <w:p w14:paraId="3131A96B" w14:textId="77777777" w:rsidR="00F22D0F" w:rsidRPr="00823FED" w:rsidRDefault="00F22D0F" w:rsidP="00F22D0F">
            <w:pPr>
              <w:rPr>
                <w:rFonts w:ascii="Cambria" w:hAnsi="Cambria" w:cstheme="minorHAnsi"/>
              </w:rPr>
            </w:pPr>
            <w:r w:rsidRPr="00823FED">
              <w:rPr>
                <w:rFonts w:ascii="Cambria" w:hAnsi="Cambria" w:cstheme="minorHAnsi"/>
              </w:rPr>
              <w:t>Посочени са в целевите стойности на показателите за изпълнение в Програма 1100.01.01 на програмния бюджет на МВнР</w:t>
            </w:r>
          </w:p>
        </w:tc>
      </w:tr>
      <w:tr w:rsidR="00F22D0F" w:rsidRPr="00823FED" w14:paraId="06248179" w14:textId="77777777" w:rsidTr="00DB7021">
        <w:tc>
          <w:tcPr>
            <w:tcW w:w="2965" w:type="dxa"/>
          </w:tcPr>
          <w:p w14:paraId="1D70D440" w14:textId="77777777" w:rsidR="00F22D0F" w:rsidRPr="00D10DC0" w:rsidRDefault="00F22D0F" w:rsidP="00F22D0F">
            <w:pPr>
              <w:rPr>
                <w:rFonts w:ascii="Cambria" w:hAnsi="Cambria" w:cstheme="minorHAnsi"/>
                <w:b/>
              </w:rPr>
            </w:pPr>
            <w:r w:rsidRPr="00D10DC0">
              <w:rPr>
                <w:rFonts w:ascii="Cambria" w:hAnsi="Cambria" w:cstheme="minorHAnsi"/>
                <w:b/>
              </w:rPr>
              <w:t>Ефективно финансово и бюджетно управление</w:t>
            </w:r>
          </w:p>
        </w:tc>
        <w:tc>
          <w:tcPr>
            <w:tcW w:w="3150" w:type="dxa"/>
          </w:tcPr>
          <w:p w14:paraId="0C8B6189" w14:textId="77777777" w:rsidR="00F22D0F" w:rsidRPr="00D10DC0" w:rsidRDefault="00F22D0F" w:rsidP="00F22D0F">
            <w:pPr>
              <w:rPr>
                <w:rFonts w:ascii="Cambria" w:hAnsi="Cambria" w:cstheme="minorHAnsi"/>
              </w:rPr>
            </w:pPr>
            <w:r w:rsidRPr="00D10DC0">
              <w:rPr>
                <w:rFonts w:ascii="Cambria" w:hAnsi="Cambria" w:cstheme="minorHAnsi"/>
              </w:rPr>
              <w:t>Финансово обезпечаване на дипломатическата служба</w:t>
            </w:r>
          </w:p>
        </w:tc>
        <w:tc>
          <w:tcPr>
            <w:tcW w:w="3240" w:type="dxa"/>
          </w:tcPr>
          <w:p w14:paraId="5A2986C8" w14:textId="7656A52D" w:rsidR="00F22D0F" w:rsidRPr="00823FED" w:rsidRDefault="00D10DC0" w:rsidP="00F22D0F">
            <w:pPr>
              <w:rPr>
                <w:rFonts w:ascii="Cambria" w:hAnsi="Cambria" w:cstheme="minorHAnsi"/>
                <w:color w:val="FF0000"/>
              </w:rPr>
            </w:pPr>
            <w:r>
              <w:rPr>
                <w:rFonts w:ascii="Cambria" w:hAnsi="Cambria" w:cstheme="minorHAnsi"/>
              </w:rPr>
              <w:t xml:space="preserve">100 </w:t>
            </w:r>
            <w:r w:rsidR="00F22D0F" w:rsidRPr="00D10DC0">
              <w:rPr>
                <w:rFonts w:ascii="Cambria" w:hAnsi="Cambria" w:cstheme="minorHAnsi"/>
              </w:rPr>
              <w:t>%</w:t>
            </w:r>
          </w:p>
        </w:tc>
      </w:tr>
      <w:tr w:rsidR="00F22D0F" w:rsidRPr="00823FED" w14:paraId="615F3F2D" w14:textId="77777777" w:rsidTr="00DB7021">
        <w:tc>
          <w:tcPr>
            <w:tcW w:w="2965" w:type="dxa"/>
          </w:tcPr>
          <w:p w14:paraId="4187B821" w14:textId="77777777" w:rsidR="00F22D0F" w:rsidRPr="00823FED" w:rsidRDefault="00F22D0F" w:rsidP="00F22D0F">
            <w:pPr>
              <w:rPr>
                <w:rFonts w:ascii="Cambria" w:hAnsi="Cambria" w:cstheme="minorHAnsi"/>
                <w:b/>
              </w:rPr>
            </w:pPr>
            <w:r w:rsidRPr="00823FED">
              <w:rPr>
                <w:rFonts w:ascii="Cambria" w:hAnsi="Cambria" w:cstheme="minorHAnsi"/>
                <w:b/>
              </w:rPr>
              <w:t>Развитие на информационни системи и технологии</w:t>
            </w:r>
          </w:p>
        </w:tc>
        <w:tc>
          <w:tcPr>
            <w:tcW w:w="3150" w:type="dxa"/>
          </w:tcPr>
          <w:p w14:paraId="0EAF942C" w14:textId="77777777" w:rsidR="00F22D0F" w:rsidRPr="00823FED" w:rsidRDefault="00F22D0F" w:rsidP="00F22D0F">
            <w:pPr>
              <w:rPr>
                <w:rFonts w:ascii="Cambria" w:hAnsi="Cambria" w:cstheme="minorHAnsi"/>
              </w:rPr>
            </w:pPr>
            <w:r w:rsidRPr="00823FED">
              <w:rPr>
                <w:rFonts w:ascii="Cambria" w:hAnsi="Cambria" w:cstheme="minorHAnsi"/>
              </w:rPr>
              <w:t>Степен на привеждане на ведомствената информационна и комуникационна инфраструктура в съответствие с програмата за електронно управление и изискванията за защита на информацията</w:t>
            </w:r>
          </w:p>
        </w:tc>
        <w:tc>
          <w:tcPr>
            <w:tcW w:w="3240" w:type="dxa"/>
          </w:tcPr>
          <w:p w14:paraId="00D408B9" w14:textId="77777777" w:rsidR="00F22D0F" w:rsidRPr="00823FED" w:rsidRDefault="00F22D0F" w:rsidP="00F22D0F">
            <w:pPr>
              <w:rPr>
                <w:rFonts w:ascii="Cambria" w:hAnsi="Cambria" w:cstheme="minorHAnsi"/>
              </w:rPr>
            </w:pPr>
            <w:r w:rsidRPr="00823FED">
              <w:rPr>
                <w:rFonts w:ascii="Cambria" w:hAnsi="Cambria" w:cstheme="minorHAnsi"/>
              </w:rPr>
              <w:t>Посочени са в целевите стойности на показателите за изпълнение в Програма 1100.01.01 на програмния бюджет на МВнР</w:t>
            </w:r>
          </w:p>
        </w:tc>
      </w:tr>
      <w:tr w:rsidR="00F22D0F" w:rsidRPr="00823FED" w14:paraId="50B6CBE4" w14:textId="77777777" w:rsidTr="00DB7021">
        <w:tc>
          <w:tcPr>
            <w:tcW w:w="2965" w:type="dxa"/>
          </w:tcPr>
          <w:p w14:paraId="1E07945E" w14:textId="77777777" w:rsidR="00F22D0F" w:rsidRPr="00823FED" w:rsidRDefault="00F22D0F" w:rsidP="00F22D0F">
            <w:pPr>
              <w:rPr>
                <w:rFonts w:ascii="Cambria" w:hAnsi="Cambria" w:cstheme="minorHAnsi"/>
              </w:rPr>
            </w:pPr>
            <w:r w:rsidRPr="00823FED">
              <w:rPr>
                <w:rFonts w:ascii="Cambria" w:hAnsi="Cambria" w:cstheme="minorHAnsi"/>
                <w:b/>
              </w:rPr>
              <w:t>Изграждане, поддържане и развитие на системите за сигурност в ЦУ и ЗП</w:t>
            </w:r>
          </w:p>
          <w:p w14:paraId="23D3921F" w14:textId="77777777" w:rsidR="00F22D0F" w:rsidRPr="00823FED" w:rsidRDefault="00F22D0F" w:rsidP="00F22D0F">
            <w:pPr>
              <w:rPr>
                <w:rFonts w:ascii="Cambria" w:hAnsi="Cambria" w:cstheme="minorHAnsi"/>
                <w:b/>
              </w:rPr>
            </w:pPr>
          </w:p>
        </w:tc>
        <w:tc>
          <w:tcPr>
            <w:tcW w:w="3150" w:type="dxa"/>
          </w:tcPr>
          <w:p w14:paraId="06997D0B" w14:textId="77777777" w:rsidR="00F22D0F" w:rsidRPr="00823FED" w:rsidRDefault="00F22D0F" w:rsidP="00F22D0F">
            <w:pPr>
              <w:rPr>
                <w:rFonts w:ascii="Cambria" w:hAnsi="Cambria" w:cstheme="minorHAnsi"/>
              </w:rPr>
            </w:pPr>
            <w:r w:rsidRPr="00823FED">
              <w:rPr>
                <w:rFonts w:ascii="Cambria" w:hAnsi="Cambria" w:cstheme="minorHAnsi"/>
              </w:rPr>
              <w:t>Брой придобити ДМА</w:t>
            </w:r>
          </w:p>
        </w:tc>
        <w:tc>
          <w:tcPr>
            <w:tcW w:w="3240" w:type="dxa"/>
          </w:tcPr>
          <w:p w14:paraId="495EB0F0" w14:textId="77777777" w:rsidR="00F22D0F" w:rsidRPr="00823FED" w:rsidRDefault="00F22D0F" w:rsidP="00F22D0F">
            <w:pPr>
              <w:rPr>
                <w:rFonts w:ascii="Cambria" w:hAnsi="Cambria" w:cstheme="minorHAnsi"/>
              </w:rPr>
            </w:pPr>
            <w:r w:rsidRPr="00823FED">
              <w:rPr>
                <w:rFonts w:ascii="Cambria" w:hAnsi="Cambria" w:cstheme="minorHAnsi"/>
              </w:rPr>
              <w:t>Посочени са в целевите стойности на показателите за изпълнение в Програма 1100.01.01 на програмния бюджет на МВнР</w:t>
            </w:r>
          </w:p>
        </w:tc>
      </w:tr>
    </w:tbl>
    <w:p w14:paraId="0FB8C877" w14:textId="77777777" w:rsidR="00812B10" w:rsidRPr="00823FED" w:rsidRDefault="00812B10" w:rsidP="00716035">
      <w:pPr>
        <w:spacing w:after="0" w:line="240" w:lineRule="auto"/>
        <w:jc w:val="both"/>
        <w:rPr>
          <w:rFonts w:ascii="Cambria" w:hAnsi="Cambria" w:cstheme="minorHAnsi"/>
        </w:rPr>
      </w:pPr>
    </w:p>
    <w:p w14:paraId="4D05F96E" w14:textId="77777777" w:rsidR="00D10DC0" w:rsidRDefault="00D10DC0" w:rsidP="00716035">
      <w:pPr>
        <w:spacing w:after="0" w:line="240" w:lineRule="auto"/>
        <w:jc w:val="both"/>
        <w:rPr>
          <w:rFonts w:ascii="Cambria" w:hAnsi="Cambria" w:cstheme="minorHAnsi"/>
          <w:b/>
          <w:bCs/>
          <w:color w:val="548DD4" w:themeColor="text2" w:themeTint="99"/>
        </w:rPr>
      </w:pPr>
    </w:p>
    <w:p w14:paraId="4E4B508F" w14:textId="77777777" w:rsidR="00D10DC0" w:rsidRDefault="00D10DC0" w:rsidP="00716035">
      <w:pPr>
        <w:spacing w:after="0" w:line="240" w:lineRule="auto"/>
        <w:jc w:val="both"/>
        <w:rPr>
          <w:rFonts w:ascii="Cambria" w:hAnsi="Cambria" w:cstheme="minorHAnsi"/>
          <w:b/>
          <w:bCs/>
          <w:color w:val="548DD4" w:themeColor="text2" w:themeTint="99"/>
        </w:rPr>
      </w:pPr>
    </w:p>
    <w:p w14:paraId="7B8AE622" w14:textId="186DFB38" w:rsidR="009D0620" w:rsidRPr="00823FED" w:rsidRDefault="009D0620" w:rsidP="00716035">
      <w:pPr>
        <w:spacing w:after="0" w:line="240" w:lineRule="auto"/>
        <w:jc w:val="both"/>
        <w:rPr>
          <w:rFonts w:ascii="Cambria" w:hAnsi="Cambria" w:cstheme="minorHAnsi"/>
          <w:b/>
          <w:bCs/>
          <w:color w:val="548DD4" w:themeColor="text2" w:themeTint="99"/>
        </w:rPr>
      </w:pPr>
      <w:r w:rsidRPr="00823FED">
        <w:rPr>
          <w:rFonts w:ascii="Cambria" w:hAnsi="Cambria" w:cstheme="minorHAnsi"/>
          <w:b/>
          <w:bCs/>
          <w:color w:val="548DD4" w:themeColor="text2" w:themeTint="99"/>
        </w:rPr>
        <w:lastRenderedPageBreak/>
        <w:t xml:space="preserve">По отношение на набелязаните ключови индикатори следва да се отчете: </w:t>
      </w:r>
    </w:p>
    <w:p w14:paraId="1AABB2EB" w14:textId="77777777" w:rsidR="009D0620" w:rsidRPr="00823FED" w:rsidRDefault="009D0620" w:rsidP="00716035">
      <w:pPr>
        <w:spacing w:after="0" w:line="240" w:lineRule="auto"/>
        <w:jc w:val="both"/>
        <w:rPr>
          <w:rFonts w:ascii="Cambria" w:hAnsi="Cambria" w:cstheme="minorHAnsi"/>
          <w:b/>
          <w:bCs/>
          <w:color w:val="548DD4" w:themeColor="text2" w:themeTint="99"/>
        </w:rPr>
      </w:pPr>
    </w:p>
    <w:p w14:paraId="47FBB1EB" w14:textId="77777777" w:rsidR="0037006C" w:rsidRPr="00823FED" w:rsidRDefault="00DB7021" w:rsidP="00716035">
      <w:pPr>
        <w:spacing w:after="0" w:line="240" w:lineRule="auto"/>
        <w:jc w:val="both"/>
        <w:rPr>
          <w:rFonts w:ascii="Cambria" w:hAnsi="Cambria" w:cstheme="minorHAnsi"/>
          <w:color w:val="548DD4" w:themeColor="text2" w:themeTint="99"/>
        </w:rPr>
      </w:pPr>
      <w:r w:rsidRPr="00823FED">
        <w:rPr>
          <w:rFonts w:ascii="Cambria" w:hAnsi="Cambria" w:cstheme="minorHAnsi"/>
          <w:b/>
          <w:bCs/>
          <w:color w:val="548DD4" w:themeColor="text2" w:themeTint="99"/>
        </w:rPr>
        <w:t>Управление на човешките ресурси:</w:t>
      </w:r>
      <w:r w:rsidRPr="00823FED">
        <w:rPr>
          <w:rFonts w:ascii="Cambria" w:hAnsi="Cambria" w:cstheme="minorHAnsi"/>
          <w:color w:val="548DD4" w:themeColor="text2" w:themeTint="99"/>
        </w:rPr>
        <w:t xml:space="preserve"> </w:t>
      </w:r>
    </w:p>
    <w:p w14:paraId="1DE56854" w14:textId="77777777" w:rsidR="00DB7021" w:rsidRPr="00823FED" w:rsidRDefault="00E32E50" w:rsidP="00546319">
      <w:pPr>
        <w:spacing w:after="0" w:line="240" w:lineRule="auto"/>
        <w:ind w:firstLine="432"/>
        <w:jc w:val="both"/>
        <w:rPr>
          <w:rFonts w:ascii="Cambria" w:hAnsi="Cambria" w:cstheme="minorHAnsi"/>
        </w:rPr>
      </w:pPr>
      <w:r w:rsidRPr="00823FED">
        <w:rPr>
          <w:rFonts w:ascii="Cambria" w:hAnsi="Cambria" w:cstheme="minorHAnsi"/>
        </w:rPr>
        <w:t>През</w:t>
      </w:r>
      <w:r w:rsidR="00546319" w:rsidRPr="00823FED">
        <w:rPr>
          <w:rFonts w:ascii="Cambria" w:hAnsi="Cambria" w:cstheme="minorHAnsi"/>
        </w:rPr>
        <w:t xml:space="preserve"> първото полугодие на</w:t>
      </w:r>
      <w:r w:rsidRPr="00823FED">
        <w:rPr>
          <w:rFonts w:ascii="Cambria" w:hAnsi="Cambria" w:cstheme="minorHAnsi"/>
        </w:rPr>
        <w:t xml:space="preserve"> 202</w:t>
      </w:r>
      <w:r w:rsidR="00546319" w:rsidRPr="00823FED">
        <w:rPr>
          <w:rFonts w:ascii="Cambria" w:hAnsi="Cambria" w:cstheme="minorHAnsi"/>
        </w:rPr>
        <w:t>1</w:t>
      </w:r>
      <w:r w:rsidRPr="00823FED">
        <w:rPr>
          <w:rFonts w:ascii="Cambria" w:hAnsi="Cambria" w:cstheme="minorHAnsi"/>
        </w:rPr>
        <w:t xml:space="preserve"> г. бяха организирани и проведени </w:t>
      </w:r>
      <w:r w:rsidR="00546319" w:rsidRPr="00823FED">
        <w:rPr>
          <w:rFonts w:ascii="Cambria" w:hAnsi="Cambria" w:cstheme="minorHAnsi"/>
        </w:rPr>
        <w:t>3</w:t>
      </w:r>
      <w:r w:rsidRPr="00823FED">
        <w:rPr>
          <w:rFonts w:ascii="Cambria" w:hAnsi="Cambria" w:cstheme="minorHAnsi"/>
        </w:rPr>
        <w:t xml:space="preserve"> редовни заседания на Кариерната комисия към Министъра на външните</w:t>
      </w:r>
      <w:r w:rsidR="006736E4" w:rsidRPr="00823FED">
        <w:rPr>
          <w:rFonts w:ascii="Cambria" w:hAnsi="Cambria" w:cstheme="minorHAnsi"/>
        </w:rPr>
        <w:t xml:space="preserve"> работи</w:t>
      </w:r>
      <w:r w:rsidR="001220A2" w:rsidRPr="00823FED">
        <w:rPr>
          <w:rFonts w:ascii="Cambria" w:hAnsi="Cambria" w:cstheme="minorHAnsi"/>
        </w:rPr>
        <w:t>.</w:t>
      </w:r>
      <w:r w:rsidR="006736E4" w:rsidRPr="00823FED">
        <w:rPr>
          <w:rFonts w:ascii="Cambria" w:hAnsi="Cambria" w:cstheme="minorHAnsi"/>
        </w:rPr>
        <w:t xml:space="preserve"> </w:t>
      </w:r>
      <w:r w:rsidR="001220A2" w:rsidRPr="00823FED">
        <w:rPr>
          <w:rFonts w:ascii="Cambria" w:hAnsi="Cambria" w:cstheme="minorHAnsi"/>
        </w:rPr>
        <w:t xml:space="preserve">Бяха разгледани постъпилите кандидатури във връзка с обявените на подлежащите на допълнителна ротация 2021 незаети и предсрочно овакантяващи се дипломатически и административно-технически длъжности в дипломатическите и консулските представителства на Република България, както и постъпилите кандидатури за заемане на свободните и освобождаващи се през настоящата година в рамките на обратната ротация длъжности в структурните звена на ЦУ на МВнР. Също така бяха разгледани постъпилите кандидатури за участие в конкурентен подбор за заемане на 13 свободни и освобождаващи се ръководни длъжности в ЦУ на МВнР. </w:t>
      </w:r>
    </w:p>
    <w:p w14:paraId="04E01DD5" w14:textId="77777777" w:rsidR="007D68D0" w:rsidRPr="00823FED" w:rsidRDefault="007D68D0" w:rsidP="00716035">
      <w:pPr>
        <w:spacing w:after="0" w:line="240" w:lineRule="auto"/>
        <w:jc w:val="both"/>
        <w:rPr>
          <w:rFonts w:ascii="Cambria" w:hAnsi="Cambria" w:cstheme="minorHAnsi"/>
          <w:b/>
          <w:bCs/>
          <w:color w:val="92D050"/>
        </w:rPr>
      </w:pPr>
    </w:p>
    <w:p w14:paraId="24E53A84" w14:textId="77777777" w:rsidR="0037006C" w:rsidRPr="00823FED" w:rsidRDefault="00DB7021" w:rsidP="00716035">
      <w:pPr>
        <w:spacing w:after="0" w:line="240" w:lineRule="auto"/>
        <w:jc w:val="both"/>
        <w:rPr>
          <w:rFonts w:ascii="Cambria" w:hAnsi="Cambria" w:cstheme="minorHAnsi"/>
          <w:b/>
          <w:bCs/>
          <w:color w:val="548DD4" w:themeColor="text2" w:themeTint="99"/>
        </w:rPr>
      </w:pPr>
      <w:r w:rsidRPr="00823FED">
        <w:rPr>
          <w:rFonts w:ascii="Cambria" w:hAnsi="Cambria" w:cstheme="minorHAnsi"/>
          <w:b/>
          <w:bCs/>
          <w:color w:val="548DD4" w:themeColor="text2" w:themeTint="99"/>
        </w:rPr>
        <w:t xml:space="preserve">Оптимално управление и поддръжка на сградния фонд: </w:t>
      </w:r>
    </w:p>
    <w:p w14:paraId="09028E08" w14:textId="77777777" w:rsidR="001220A2" w:rsidRPr="00823FED" w:rsidRDefault="00E32E50" w:rsidP="001220A2">
      <w:pPr>
        <w:spacing w:after="0" w:line="240" w:lineRule="auto"/>
        <w:ind w:firstLine="432"/>
        <w:jc w:val="both"/>
        <w:rPr>
          <w:rFonts w:ascii="Cambria" w:hAnsi="Cambria" w:cstheme="minorHAnsi"/>
          <w:bCs/>
        </w:rPr>
      </w:pPr>
      <w:r w:rsidRPr="00823FED">
        <w:rPr>
          <w:rFonts w:ascii="Cambria" w:hAnsi="Cambria" w:cstheme="minorHAnsi"/>
        </w:rPr>
        <w:t xml:space="preserve">В сградата на МВнР – ЦУ, гр. София, ул. „Ал. Жендов“ №2 е извършен ремонт на 50 кабинета и </w:t>
      </w:r>
      <w:r w:rsidR="001220A2" w:rsidRPr="00823FED">
        <w:rPr>
          <w:rFonts w:ascii="Cambria" w:hAnsi="Cambria" w:cstheme="minorHAnsi"/>
        </w:rPr>
        <w:t>работни помещения</w:t>
      </w:r>
      <w:r w:rsidRPr="00823FED">
        <w:rPr>
          <w:rFonts w:ascii="Cambria" w:hAnsi="Cambria" w:cstheme="minorHAnsi"/>
        </w:rPr>
        <w:t>.</w:t>
      </w:r>
      <w:r w:rsidR="001220A2" w:rsidRPr="00823FED">
        <w:rPr>
          <w:rFonts w:ascii="Cambria" w:hAnsi="Cambria" w:cstheme="minorHAnsi"/>
        </w:rPr>
        <w:t xml:space="preserve"> Извършени са</w:t>
      </w:r>
      <w:r w:rsidRPr="00823FED">
        <w:rPr>
          <w:rFonts w:ascii="Cambria" w:hAnsi="Cambria" w:cstheme="minorHAnsi"/>
        </w:rPr>
        <w:t xml:space="preserve"> </w:t>
      </w:r>
      <w:r w:rsidR="001220A2" w:rsidRPr="00823FED">
        <w:rPr>
          <w:rFonts w:ascii="Cambria" w:hAnsi="Cambria" w:cstheme="minorHAnsi"/>
        </w:rPr>
        <w:t xml:space="preserve">довършителни работи вследствие  на основен ремонт (смяна на вертикални щрангове) в сграда от </w:t>
      </w:r>
      <w:r w:rsidR="001220A2" w:rsidRPr="00823FED">
        <w:rPr>
          <w:rFonts w:ascii="Cambria" w:hAnsi="Cambria" w:cstheme="minorHAnsi"/>
          <w:bCs/>
        </w:rPr>
        <w:t>ведомствения жилищен фонд на министерството. Предприети са мерки за отстраняване на гаранционни дефекти от извършен ремонт на хидроизолацията в подземните гаражи и киносалон в сградата на ЦУ и подмяна на съществуваща алуминиева дограма с нова алуминиева дограма в помещения на ЦУ.  Извършена е подмяна на офис мебелите в 25 работни помещения.</w:t>
      </w:r>
    </w:p>
    <w:p w14:paraId="420F8599" w14:textId="77777777" w:rsidR="007D68D0" w:rsidRPr="00823FED" w:rsidRDefault="007D68D0" w:rsidP="00716035">
      <w:pPr>
        <w:spacing w:after="0" w:line="240" w:lineRule="auto"/>
        <w:jc w:val="both"/>
        <w:rPr>
          <w:rFonts w:ascii="Cambria" w:hAnsi="Cambria" w:cstheme="minorHAnsi"/>
          <w:b/>
          <w:bCs/>
          <w:color w:val="548DD4" w:themeColor="text2" w:themeTint="99"/>
        </w:rPr>
      </w:pPr>
    </w:p>
    <w:p w14:paraId="68851D5D" w14:textId="77777777" w:rsidR="00257B22" w:rsidRPr="00823FED" w:rsidRDefault="00DB7021" w:rsidP="00716035">
      <w:pPr>
        <w:spacing w:after="0" w:line="240" w:lineRule="auto"/>
        <w:jc w:val="both"/>
        <w:rPr>
          <w:rFonts w:ascii="Cambria" w:hAnsi="Cambria" w:cstheme="minorHAnsi"/>
          <w:b/>
          <w:bCs/>
        </w:rPr>
      </w:pPr>
      <w:r w:rsidRPr="00823FED">
        <w:rPr>
          <w:rFonts w:ascii="Cambria" w:hAnsi="Cambria" w:cstheme="minorHAnsi"/>
          <w:b/>
          <w:bCs/>
          <w:color w:val="548DD4" w:themeColor="text2" w:themeTint="99"/>
        </w:rPr>
        <w:t>Ефективно финансово и бюджетно управление:</w:t>
      </w:r>
      <w:r w:rsidRPr="00823FED">
        <w:rPr>
          <w:rFonts w:ascii="Cambria" w:hAnsi="Cambria" w:cstheme="minorHAnsi"/>
          <w:b/>
          <w:bCs/>
        </w:rPr>
        <w:t xml:space="preserve"> </w:t>
      </w:r>
    </w:p>
    <w:p w14:paraId="73A552FD" w14:textId="4A1B0752" w:rsidR="00836992" w:rsidRDefault="00836992" w:rsidP="00836992">
      <w:pPr>
        <w:tabs>
          <w:tab w:val="left" w:pos="540"/>
        </w:tabs>
        <w:spacing w:before="60" w:after="60" w:line="240" w:lineRule="auto"/>
        <w:jc w:val="both"/>
        <w:rPr>
          <w:rFonts w:ascii="Cambria" w:hAnsi="Cambria"/>
        </w:rPr>
      </w:pPr>
      <w:r>
        <w:rPr>
          <w:rFonts w:ascii="Cambria" w:hAnsi="Cambria" w:cstheme="minorHAnsi"/>
        </w:rPr>
        <w:tab/>
      </w:r>
      <w:r w:rsidR="00E32E50" w:rsidRPr="004861F5">
        <w:rPr>
          <w:rFonts w:ascii="Cambria" w:hAnsi="Cambria" w:cstheme="minorHAnsi"/>
        </w:rPr>
        <w:t xml:space="preserve">В рамките на министерството бяха осигурени финансово-счетоводната и материална отчетност и бюджетния процес. </w:t>
      </w:r>
      <w:r w:rsidRPr="006E4E02">
        <w:rPr>
          <w:rFonts w:ascii="Cambria" w:hAnsi="Cambria"/>
        </w:rPr>
        <w:t>Във връзка с подготовката и провеждането на избори за НС на 04.04.2021 г. и 11.07.2021 г., беше създадена организация за финансовото обезпечаване</w:t>
      </w:r>
      <w:r>
        <w:rPr>
          <w:rFonts w:ascii="Cambria" w:hAnsi="Cambria"/>
        </w:rPr>
        <w:t xml:space="preserve"> на краткосрочно командированите от ЦУ на МВнР служители, цялостната предварителна, текуща и последваща финансова отчетност, оформление на изискваните документи, също така и по отношение на останалите съпътстващи дейности касаещи логистика, материали, услу</w:t>
      </w:r>
      <w:r>
        <w:rPr>
          <w:rFonts w:ascii="Cambria" w:hAnsi="Cambria"/>
        </w:rPr>
        <w:t>ги  и други.</w:t>
      </w:r>
    </w:p>
    <w:p w14:paraId="55C4705F" w14:textId="4E1E3E11" w:rsidR="00DB7021" w:rsidRPr="004861F5" w:rsidRDefault="00836992" w:rsidP="00836992">
      <w:pPr>
        <w:tabs>
          <w:tab w:val="left" w:pos="540"/>
        </w:tabs>
        <w:spacing w:before="60" w:after="60" w:line="240" w:lineRule="auto"/>
        <w:jc w:val="both"/>
        <w:rPr>
          <w:rFonts w:ascii="Cambria" w:hAnsi="Cambria" w:cstheme="minorHAnsi"/>
        </w:rPr>
      </w:pPr>
      <w:r>
        <w:rPr>
          <w:rFonts w:ascii="Cambria" w:hAnsi="Cambria"/>
        </w:rPr>
        <w:tab/>
      </w:r>
      <w:bookmarkStart w:id="0" w:name="_GoBack"/>
      <w:bookmarkEnd w:id="0"/>
      <w:r w:rsidR="000612CC" w:rsidRPr="004861F5">
        <w:rPr>
          <w:rFonts w:ascii="Cambria" w:hAnsi="Cambria" w:cstheme="minorHAnsi"/>
        </w:rPr>
        <w:t>О</w:t>
      </w:r>
      <w:r w:rsidR="00E32E50" w:rsidRPr="004861F5">
        <w:rPr>
          <w:rFonts w:ascii="Cambria" w:hAnsi="Cambria" w:cstheme="minorHAnsi"/>
        </w:rPr>
        <w:t>съществяван</w:t>
      </w:r>
      <w:r w:rsidR="000612CC" w:rsidRPr="004861F5">
        <w:rPr>
          <w:rFonts w:ascii="Cambria" w:hAnsi="Cambria" w:cstheme="minorHAnsi"/>
        </w:rPr>
        <w:t xml:space="preserve"> е </w:t>
      </w:r>
      <w:r w:rsidR="00E32E50" w:rsidRPr="004861F5">
        <w:rPr>
          <w:rFonts w:ascii="Cambria" w:hAnsi="Cambria" w:cstheme="minorHAnsi"/>
        </w:rPr>
        <w:t>предварителен контрол за законосъобразност съгласно ЗФУКПС от финансови контрольори в ЦУ на МВнР преди поемане на задължение за приход/разход  и/или преди извършване на разход, в резултат на което са предотвратени редица незаконосъобразни разходи/поемане на задължения, отстранени са своевременно пропуски и несъответствия, не са допуснати нарушения на финансовата дисциплина.</w:t>
      </w:r>
    </w:p>
    <w:p w14:paraId="6C17C274" w14:textId="77777777" w:rsidR="007D68D0" w:rsidRPr="00823FED" w:rsidRDefault="007D68D0" w:rsidP="00716035">
      <w:pPr>
        <w:pStyle w:val="ListParagraph"/>
        <w:widowControl w:val="0"/>
        <w:autoSpaceDE w:val="0"/>
        <w:autoSpaceDN w:val="0"/>
        <w:adjustRightInd w:val="0"/>
        <w:spacing w:after="0" w:line="240" w:lineRule="auto"/>
        <w:ind w:left="0"/>
        <w:contextualSpacing w:val="0"/>
        <w:jc w:val="both"/>
        <w:rPr>
          <w:rFonts w:ascii="Cambria" w:hAnsi="Cambria" w:cstheme="minorHAnsi"/>
          <w:b/>
          <w:bCs/>
          <w:color w:val="548DD4" w:themeColor="text2" w:themeTint="99"/>
        </w:rPr>
      </w:pPr>
    </w:p>
    <w:p w14:paraId="668BC317" w14:textId="77777777" w:rsidR="00E0193C" w:rsidRPr="00823FED" w:rsidRDefault="00DB7021" w:rsidP="00716035">
      <w:pPr>
        <w:pStyle w:val="ListParagraph"/>
        <w:widowControl w:val="0"/>
        <w:autoSpaceDE w:val="0"/>
        <w:autoSpaceDN w:val="0"/>
        <w:adjustRightInd w:val="0"/>
        <w:spacing w:after="0" w:line="240" w:lineRule="auto"/>
        <w:ind w:left="0"/>
        <w:contextualSpacing w:val="0"/>
        <w:jc w:val="both"/>
        <w:rPr>
          <w:rFonts w:ascii="Cambria" w:hAnsi="Cambria" w:cstheme="minorHAnsi"/>
        </w:rPr>
      </w:pPr>
      <w:r w:rsidRPr="00823FED">
        <w:rPr>
          <w:rFonts w:ascii="Cambria" w:hAnsi="Cambria" w:cstheme="minorHAnsi"/>
          <w:b/>
          <w:bCs/>
          <w:color w:val="548DD4" w:themeColor="text2" w:themeTint="99"/>
        </w:rPr>
        <w:t>Развитие на информационни системи и технологии:</w:t>
      </w:r>
      <w:r w:rsidR="00315D42" w:rsidRPr="00823FED">
        <w:rPr>
          <w:rFonts w:ascii="Cambria" w:hAnsi="Cambria" w:cstheme="minorHAnsi"/>
          <w:b/>
          <w:bCs/>
          <w:color w:val="548DD4" w:themeColor="text2" w:themeTint="99"/>
        </w:rPr>
        <w:t xml:space="preserve"> </w:t>
      </w:r>
    </w:p>
    <w:p w14:paraId="1AC83960" w14:textId="77777777" w:rsidR="00E32E50" w:rsidRPr="00823FED" w:rsidRDefault="00E32E50" w:rsidP="00716035">
      <w:pPr>
        <w:spacing w:after="0" w:line="240" w:lineRule="auto"/>
        <w:rPr>
          <w:rFonts w:ascii="Cambria" w:hAnsi="Cambria" w:cstheme="minorHAnsi"/>
        </w:rPr>
      </w:pPr>
      <w:r w:rsidRPr="00823FED">
        <w:rPr>
          <w:rFonts w:ascii="Cambria" w:hAnsi="Cambria" w:cstheme="minorHAnsi"/>
        </w:rPr>
        <w:t>През</w:t>
      </w:r>
      <w:r w:rsidR="00B32D02" w:rsidRPr="00823FED">
        <w:rPr>
          <w:rFonts w:ascii="Cambria" w:hAnsi="Cambria" w:cstheme="minorHAnsi"/>
        </w:rPr>
        <w:t xml:space="preserve"> първата половина на</w:t>
      </w:r>
      <w:r w:rsidRPr="00823FED">
        <w:rPr>
          <w:rFonts w:ascii="Cambria" w:hAnsi="Cambria" w:cstheme="minorHAnsi"/>
        </w:rPr>
        <w:t xml:space="preserve"> 202</w:t>
      </w:r>
      <w:r w:rsidR="00B32D02" w:rsidRPr="00823FED">
        <w:rPr>
          <w:rFonts w:ascii="Cambria" w:hAnsi="Cambria" w:cstheme="minorHAnsi"/>
        </w:rPr>
        <w:t>1</w:t>
      </w:r>
      <w:r w:rsidRPr="00823FED">
        <w:rPr>
          <w:rFonts w:ascii="Cambria" w:hAnsi="Cambria" w:cstheme="minorHAnsi"/>
        </w:rPr>
        <w:t xml:space="preserve"> г. бяха реализирани комплекс от мерки за повишаване на нивото на мрежовата и информационна сигурност в МВнР, включващи:</w:t>
      </w:r>
    </w:p>
    <w:p w14:paraId="0E4DE08F" w14:textId="77777777" w:rsidR="00E32E50" w:rsidRPr="00823FED" w:rsidRDefault="00DA3C5E" w:rsidP="00716035">
      <w:pPr>
        <w:pStyle w:val="ListParagraph"/>
        <w:numPr>
          <w:ilvl w:val="0"/>
          <w:numId w:val="3"/>
        </w:numPr>
        <w:spacing w:after="0" w:line="240" w:lineRule="auto"/>
        <w:rPr>
          <w:rFonts w:ascii="Cambria" w:hAnsi="Cambria" w:cstheme="minorHAnsi"/>
        </w:rPr>
      </w:pPr>
      <w:r w:rsidRPr="00823FED">
        <w:rPr>
          <w:rFonts w:ascii="Cambria" w:hAnsi="Cambria" w:cstheme="minorHAnsi"/>
          <w:bCs/>
        </w:rPr>
        <w:t>Конфигуриране на активното мрежово оборудване и профилактика на компютрите в откритата мрежа и в мрежата на НВИС в две посолства</w:t>
      </w:r>
      <w:r w:rsidR="00E32E50" w:rsidRPr="00823FED">
        <w:rPr>
          <w:rFonts w:ascii="Cambria" w:hAnsi="Cambria" w:cstheme="minorHAnsi"/>
        </w:rPr>
        <w:t>;</w:t>
      </w:r>
    </w:p>
    <w:p w14:paraId="5CAC88C4" w14:textId="77777777" w:rsidR="00DA3C5E" w:rsidRPr="00823FED" w:rsidRDefault="00DA3C5E" w:rsidP="00DC07C8">
      <w:pPr>
        <w:pStyle w:val="ListParagraph"/>
        <w:numPr>
          <w:ilvl w:val="0"/>
          <w:numId w:val="3"/>
        </w:numPr>
        <w:spacing w:after="0" w:line="240" w:lineRule="auto"/>
        <w:rPr>
          <w:rFonts w:ascii="Cambria" w:hAnsi="Cambria" w:cstheme="minorHAnsi"/>
        </w:rPr>
      </w:pPr>
      <w:r w:rsidRPr="00823FED">
        <w:rPr>
          <w:rFonts w:ascii="Cambria" w:hAnsi="Cambria" w:cstheme="minorHAnsi"/>
        </w:rPr>
        <w:t>Своевременно е оказвано съдействие за разрешаване на възникнали технически проблеми  в задграничните представителства на Република България и обезпечаване на същите с нова компютърна техника и съдействие за закупуване на място;.</w:t>
      </w:r>
    </w:p>
    <w:p w14:paraId="6207B798" w14:textId="77777777" w:rsidR="00DA3C5E" w:rsidRPr="00823FED" w:rsidRDefault="00DA3C5E" w:rsidP="00DA3C5E">
      <w:pPr>
        <w:pStyle w:val="ListParagraph"/>
        <w:numPr>
          <w:ilvl w:val="0"/>
          <w:numId w:val="3"/>
        </w:numPr>
        <w:rPr>
          <w:rFonts w:ascii="Cambria" w:hAnsi="Cambria" w:cstheme="minorHAnsi"/>
        </w:rPr>
      </w:pPr>
      <w:r w:rsidRPr="00823FED">
        <w:rPr>
          <w:rFonts w:ascii="Cambria" w:hAnsi="Cambria" w:cstheme="minorHAnsi"/>
        </w:rPr>
        <w:t>През отчетния период, в качеството на дирекция-заявител по утвърдения  план-график за провеждане на обществени поръчки по ЗОП на МВнР за 2021 г., както и при възникнала необходимост извън посочения план-график, бяха изготвени документации и технически задания за стартиране на 12 процедури по ЗОП;</w:t>
      </w:r>
    </w:p>
    <w:p w14:paraId="5D1B2DBD" w14:textId="73AFB20D" w:rsidR="00063B03" w:rsidRPr="00823FED" w:rsidRDefault="00DA3C5E" w:rsidP="009528E4">
      <w:pPr>
        <w:pStyle w:val="ListParagraph"/>
        <w:numPr>
          <w:ilvl w:val="0"/>
          <w:numId w:val="3"/>
        </w:numPr>
        <w:spacing w:after="0" w:line="240" w:lineRule="auto"/>
        <w:jc w:val="both"/>
        <w:rPr>
          <w:rFonts w:ascii="Cambria" w:hAnsi="Cambria" w:cstheme="minorHAnsi"/>
        </w:rPr>
      </w:pPr>
      <w:r w:rsidRPr="00823FED">
        <w:rPr>
          <w:rFonts w:ascii="Cambria" w:hAnsi="Cambria" w:cstheme="minorHAnsi"/>
        </w:rPr>
        <w:t xml:space="preserve">Разработена </w:t>
      </w:r>
      <w:r w:rsidR="00846246" w:rsidRPr="00823FED">
        <w:rPr>
          <w:rFonts w:ascii="Cambria" w:hAnsi="Cambria" w:cstheme="minorHAnsi"/>
        </w:rPr>
        <w:t>б</w:t>
      </w:r>
      <w:r w:rsidRPr="00823FED">
        <w:rPr>
          <w:rFonts w:ascii="Cambria" w:hAnsi="Cambria" w:cstheme="minorHAnsi"/>
        </w:rPr>
        <w:t>е секторна стратегия за развитие на електронното управление в МВнР „Е-външна политика, консулски услуги и българска диаспора 2021-2025“.</w:t>
      </w:r>
    </w:p>
    <w:p w14:paraId="413CF93C" w14:textId="77777777" w:rsidR="00846246" w:rsidRPr="00823FED" w:rsidRDefault="00846246" w:rsidP="00846246">
      <w:pPr>
        <w:pStyle w:val="ListParagraph"/>
        <w:spacing w:after="0" w:line="240" w:lineRule="auto"/>
        <w:jc w:val="both"/>
        <w:rPr>
          <w:rFonts w:ascii="Cambria" w:hAnsi="Cambria" w:cstheme="minorHAnsi"/>
        </w:rPr>
      </w:pPr>
    </w:p>
    <w:p w14:paraId="76B69E99" w14:textId="77777777" w:rsidR="00020ECE" w:rsidRPr="00823FED" w:rsidRDefault="00020ECE" w:rsidP="00716035">
      <w:pPr>
        <w:shd w:val="clear" w:color="auto" w:fill="FBD4B4" w:themeFill="accent6" w:themeFillTint="66"/>
        <w:spacing w:after="0" w:line="240" w:lineRule="auto"/>
        <w:ind w:firstLine="284"/>
        <w:jc w:val="both"/>
        <w:rPr>
          <w:rFonts w:ascii="Cambria" w:hAnsi="Cambria" w:cstheme="minorHAnsi"/>
          <w:b/>
          <w:caps/>
          <w:color w:val="000000"/>
        </w:rPr>
      </w:pPr>
      <w:r w:rsidRPr="00823FED">
        <w:rPr>
          <w:rFonts w:ascii="Cambria" w:hAnsi="Cambria" w:cstheme="minorHAnsi"/>
          <w:b/>
          <w:caps/>
        </w:rPr>
        <w:t xml:space="preserve">Област на политика: </w:t>
      </w:r>
      <w:r w:rsidRPr="00823FED">
        <w:rPr>
          <w:rFonts w:ascii="Cambria" w:hAnsi="Cambria" w:cstheme="minorHAnsi"/>
          <w:b/>
          <w:caps/>
          <w:color w:val="000000"/>
        </w:rPr>
        <w:t>„</w:t>
      </w:r>
      <w:r w:rsidR="00DB0CA6" w:rsidRPr="00823FED">
        <w:rPr>
          <w:rFonts w:ascii="Cambria" w:hAnsi="Cambria" w:cstheme="minorHAnsi"/>
          <w:b/>
          <w:caps/>
          <w:color w:val="000000"/>
        </w:rPr>
        <w:t>Публична дипломация</w:t>
      </w:r>
      <w:r w:rsidRPr="00823FED">
        <w:rPr>
          <w:rFonts w:ascii="Cambria" w:hAnsi="Cambria" w:cstheme="minorHAnsi"/>
          <w:b/>
          <w:caps/>
          <w:color w:val="000000"/>
        </w:rPr>
        <w:t>”</w:t>
      </w:r>
    </w:p>
    <w:p w14:paraId="56EF45D9" w14:textId="77777777" w:rsidR="00020ECE" w:rsidRPr="00823FED" w:rsidRDefault="00020ECE" w:rsidP="00716035">
      <w:pPr>
        <w:autoSpaceDE w:val="0"/>
        <w:autoSpaceDN w:val="0"/>
        <w:adjustRightInd w:val="0"/>
        <w:spacing w:after="0" w:line="240" w:lineRule="auto"/>
        <w:ind w:firstLine="284"/>
        <w:jc w:val="both"/>
        <w:rPr>
          <w:rFonts w:ascii="Cambria" w:hAnsi="Cambria" w:cstheme="minorHAnsi"/>
        </w:rPr>
      </w:pPr>
    </w:p>
    <w:p w14:paraId="34576FD2" w14:textId="660A3C7D" w:rsidR="00E0193C" w:rsidRPr="00823FED" w:rsidRDefault="00E0193C" w:rsidP="00716035">
      <w:pPr>
        <w:spacing w:after="0" w:line="240" w:lineRule="auto"/>
        <w:ind w:firstLine="450"/>
        <w:jc w:val="both"/>
        <w:rPr>
          <w:rFonts w:ascii="Cambria" w:hAnsi="Cambria" w:cstheme="minorHAnsi"/>
        </w:rPr>
      </w:pPr>
      <w:r w:rsidRPr="00823FED">
        <w:rPr>
          <w:rFonts w:ascii="Cambria" w:hAnsi="Cambria" w:cstheme="minorHAnsi"/>
        </w:rPr>
        <w:t>В условията на съвременната информационна среда</w:t>
      </w:r>
      <w:r w:rsidR="00823FED" w:rsidRPr="00823FED">
        <w:rPr>
          <w:rFonts w:ascii="Cambria" w:hAnsi="Cambria" w:cstheme="minorHAnsi"/>
        </w:rPr>
        <w:t>,</w:t>
      </w:r>
      <w:r w:rsidRPr="00823FED">
        <w:rPr>
          <w:rFonts w:ascii="Cambria" w:hAnsi="Cambria" w:cstheme="minorHAnsi"/>
        </w:rPr>
        <w:t xml:space="preserve"> присъствието в публичното пространство се осъществява в значителна степен чрез използването на съществуващите благодарение на интернет и мобилните мрежи форми на комуникация, в т.ч. социални мрежи, електронни страници, чрез които се постига мигновен достъп до информация. </w:t>
      </w:r>
    </w:p>
    <w:p w14:paraId="1969AAE6" w14:textId="77777777" w:rsidR="009D0620" w:rsidRPr="00823FED" w:rsidRDefault="009D0620" w:rsidP="00716035">
      <w:pPr>
        <w:spacing w:after="0" w:line="240" w:lineRule="auto"/>
        <w:ind w:firstLine="284"/>
        <w:jc w:val="both"/>
        <w:rPr>
          <w:rFonts w:ascii="Cambria" w:hAnsi="Cambria" w:cstheme="minorHAnsi"/>
        </w:rPr>
      </w:pPr>
    </w:p>
    <w:tbl>
      <w:tblPr>
        <w:tblStyle w:val="TableGrid"/>
        <w:tblW w:w="9355" w:type="dxa"/>
        <w:tblLook w:val="04A0" w:firstRow="1" w:lastRow="0" w:firstColumn="1" w:lastColumn="0" w:noHBand="0" w:noVBand="1"/>
      </w:tblPr>
      <w:tblGrid>
        <w:gridCol w:w="3397"/>
        <w:gridCol w:w="2718"/>
        <w:gridCol w:w="3240"/>
      </w:tblGrid>
      <w:tr w:rsidR="005F5D96" w:rsidRPr="00823FED" w14:paraId="02665CDD" w14:textId="77777777" w:rsidTr="005A23DC">
        <w:tc>
          <w:tcPr>
            <w:tcW w:w="9355" w:type="dxa"/>
            <w:gridSpan w:val="3"/>
            <w:shd w:val="clear" w:color="auto" w:fill="FABF8F" w:themeFill="accent6" w:themeFillTint="99"/>
          </w:tcPr>
          <w:p w14:paraId="05CE0AB5" w14:textId="77777777" w:rsidR="009D0620" w:rsidRPr="00823FED" w:rsidRDefault="009D0620" w:rsidP="00716035">
            <w:pPr>
              <w:jc w:val="center"/>
              <w:rPr>
                <w:rFonts w:ascii="Cambria" w:hAnsi="Cambria" w:cstheme="minorHAnsi"/>
                <w:b/>
                <w:iCs/>
              </w:rPr>
            </w:pPr>
            <w:r w:rsidRPr="00823FED">
              <w:rPr>
                <w:rFonts w:ascii="Cambria" w:hAnsi="Cambria" w:cstheme="minorHAnsi"/>
                <w:b/>
                <w:bCs/>
              </w:rPr>
              <w:t>КЛЮЧОВИ ИНДИКАТОРИ ЗА ИЗПЪЛНЕНИЕ И ЦЕЛЕВИ СТОЙНОСТИ</w:t>
            </w:r>
          </w:p>
          <w:p w14:paraId="4C7D6A5D" w14:textId="77777777" w:rsidR="009D0620" w:rsidRPr="00823FED" w:rsidRDefault="009D0620" w:rsidP="00716035">
            <w:pPr>
              <w:jc w:val="center"/>
              <w:rPr>
                <w:rFonts w:ascii="Cambria" w:hAnsi="Cambria" w:cstheme="minorHAnsi"/>
                <w:b/>
                <w:bCs/>
                <w:iCs/>
              </w:rPr>
            </w:pPr>
            <w:r w:rsidRPr="00823FED">
              <w:rPr>
                <w:rFonts w:ascii="Cambria" w:hAnsi="Cambria" w:cstheme="minorHAnsi"/>
                <w:b/>
                <w:iCs/>
              </w:rPr>
              <w:t>Област на политика „„Публична дипломация““</w:t>
            </w:r>
          </w:p>
        </w:tc>
      </w:tr>
      <w:tr w:rsidR="005F5D96" w:rsidRPr="00823FED" w14:paraId="7A39637C" w14:textId="77777777" w:rsidTr="004861F5">
        <w:tc>
          <w:tcPr>
            <w:tcW w:w="3397" w:type="dxa"/>
            <w:shd w:val="clear" w:color="auto" w:fill="FABF8F" w:themeFill="accent6" w:themeFillTint="99"/>
          </w:tcPr>
          <w:p w14:paraId="2C052D0E" w14:textId="77777777" w:rsidR="009D0620" w:rsidRPr="00823FED" w:rsidRDefault="009D0620" w:rsidP="00716035">
            <w:pPr>
              <w:jc w:val="both"/>
              <w:rPr>
                <w:rFonts w:ascii="Cambria" w:hAnsi="Cambria" w:cstheme="minorHAnsi"/>
              </w:rPr>
            </w:pPr>
            <w:r w:rsidRPr="00823FED">
              <w:rPr>
                <w:rFonts w:ascii="Cambria" w:hAnsi="Cambria" w:cstheme="minorHAnsi"/>
                <w:b/>
                <w:bCs/>
              </w:rPr>
              <w:t>Наименование на индикатора</w:t>
            </w:r>
          </w:p>
        </w:tc>
        <w:tc>
          <w:tcPr>
            <w:tcW w:w="2718" w:type="dxa"/>
            <w:shd w:val="clear" w:color="auto" w:fill="FABF8F" w:themeFill="accent6" w:themeFillTint="99"/>
          </w:tcPr>
          <w:p w14:paraId="5D9E305A" w14:textId="77777777" w:rsidR="009D0620" w:rsidRPr="00823FED" w:rsidRDefault="009D0620" w:rsidP="00716035">
            <w:pPr>
              <w:jc w:val="both"/>
              <w:rPr>
                <w:rFonts w:ascii="Cambria" w:hAnsi="Cambria" w:cstheme="minorHAnsi"/>
              </w:rPr>
            </w:pPr>
            <w:r w:rsidRPr="00823FED">
              <w:rPr>
                <w:rFonts w:ascii="Cambria" w:hAnsi="Cambria" w:cstheme="minorHAnsi"/>
                <w:b/>
                <w:bCs/>
              </w:rPr>
              <w:t>Мерна единица</w:t>
            </w:r>
          </w:p>
        </w:tc>
        <w:tc>
          <w:tcPr>
            <w:tcW w:w="3240" w:type="dxa"/>
            <w:shd w:val="clear" w:color="auto" w:fill="FABF8F" w:themeFill="accent6" w:themeFillTint="99"/>
          </w:tcPr>
          <w:p w14:paraId="18B1DB5E" w14:textId="77777777" w:rsidR="009D0620" w:rsidRPr="00823FED" w:rsidRDefault="00EC066D" w:rsidP="00DC637C">
            <w:pPr>
              <w:jc w:val="both"/>
              <w:rPr>
                <w:rFonts w:ascii="Cambria" w:hAnsi="Cambria" w:cstheme="minorHAnsi"/>
              </w:rPr>
            </w:pPr>
            <w:r w:rsidRPr="00823FED">
              <w:rPr>
                <w:rFonts w:ascii="Cambria" w:hAnsi="Cambria" w:cstheme="minorHAnsi"/>
                <w:b/>
                <w:bCs/>
                <w:iCs/>
              </w:rPr>
              <w:t>Отчет</w:t>
            </w:r>
            <w:r w:rsidR="00DC637C" w:rsidRPr="00823FED">
              <w:rPr>
                <w:rFonts w:ascii="Cambria" w:hAnsi="Cambria" w:cstheme="minorHAnsi"/>
                <w:b/>
                <w:bCs/>
                <w:iCs/>
              </w:rPr>
              <w:t xml:space="preserve"> полугодие</w:t>
            </w:r>
            <w:r w:rsidR="009D0620" w:rsidRPr="00823FED">
              <w:rPr>
                <w:rFonts w:ascii="Cambria" w:hAnsi="Cambria" w:cstheme="minorHAnsi"/>
                <w:b/>
                <w:bCs/>
                <w:iCs/>
              </w:rPr>
              <w:t xml:space="preserve"> 20</w:t>
            </w:r>
            <w:r w:rsidR="00DC637C" w:rsidRPr="00823FED">
              <w:rPr>
                <w:rFonts w:ascii="Cambria" w:hAnsi="Cambria" w:cstheme="minorHAnsi"/>
                <w:b/>
                <w:bCs/>
                <w:iCs/>
              </w:rPr>
              <w:t>21</w:t>
            </w:r>
            <w:r w:rsidR="009D0620" w:rsidRPr="00823FED">
              <w:rPr>
                <w:rFonts w:ascii="Cambria" w:hAnsi="Cambria" w:cstheme="minorHAnsi"/>
                <w:b/>
                <w:bCs/>
                <w:iCs/>
              </w:rPr>
              <w:t xml:space="preserve"> г.</w:t>
            </w:r>
          </w:p>
        </w:tc>
      </w:tr>
      <w:tr w:rsidR="005F5D96" w:rsidRPr="00823FED" w14:paraId="0F2E6FB9" w14:textId="77777777" w:rsidTr="004861F5">
        <w:tc>
          <w:tcPr>
            <w:tcW w:w="3397" w:type="dxa"/>
          </w:tcPr>
          <w:p w14:paraId="06AA910C" w14:textId="77777777" w:rsidR="009D0620" w:rsidRPr="00823FED" w:rsidRDefault="00EE14A9" w:rsidP="00716035">
            <w:pPr>
              <w:rPr>
                <w:rFonts w:ascii="Cambria" w:hAnsi="Cambria" w:cstheme="minorHAnsi"/>
                <w:bCs/>
              </w:rPr>
            </w:pPr>
            <w:r w:rsidRPr="00823FED">
              <w:rPr>
                <w:rFonts w:ascii="Cambria" w:hAnsi="Cambria" w:cstheme="minorHAnsi"/>
                <w:bCs/>
              </w:rPr>
              <w:t xml:space="preserve"> Публични дейности, организирани от ДИ</w:t>
            </w:r>
          </w:p>
        </w:tc>
        <w:tc>
          <w:tcPr>
            <w:tcW w:w="2718" w:type="dxa"/>
          </w:tcPr>
          <w:p w14:paraId="588B3CB8" w14:textId="77777777" w:rsidR="009D0620" w:rsidRPr="00823FED" w:rsidRDefault="009D0620" w:rsidP="00716035">
            <w:pPr>
              <w:rPr>
                <w:rFonts w:ascii="Cambria" w:hAnsi="Cambria" w:cstheme="minorHAnsi"/>
                <w:bCs/>
              </w:rPr>
            </w:pPr>
            <w:r w:rsidRPr="00823FED">
              <w:rPr>
                <w:rFonts w:ascii="Cambria" w:hAnsi="Cambria" w:cstheme="minorHAnsi"/>
                <w:bCs/>
              </w:rPr>
              <w:t>Брой</w:t>
            </w:r>
          </w:p>
        </w:tc>
        <w:tc>
          <w:tcPr>
            <w:tcW w:w="3240" w:type="dxa"/>
          </w:tcPr>
          <w:p w14:paraId="70A543FF" w14:textId="77777777" w:rsidR="009D0620" w:rsidRPr="00823FED" w:rsidRDefault="00DC637C" w:rsidP="001B6F21">
            <w:pPr>
              <w:rPr>
                <w:rFonts w:ascii="Cambria" w:hAnsi="Cambria" w:cstheme="minorHAnsi"/>
                <w:bCs/>
              </w:rPr>
            </w:pPr>
            <w:r w:rsidRPr="00823FED">
              <w:rPr>
                <w:rFonts w:ascii="Cambria" w:hAnsi="Cambria" w:cstheme="minorHAnsi"/>
              </w:rPr>
              <w:t>Посочени са в показателите за изпълнение в Програма 1100.02.01 на програмния бюджет на МВнР</w:t>
            </w:r>
          </w:p>
        </w:tc>
      </w:tr>
      <w:tr w:rsidR="005F5D96" w:rsidRPr="00823FED" w14:paraId="2981BA2B" w14:textId="77777777" w:rsidTr="004861F5">
        <w:tc>
          <w:tcPr>
            <w:tcW w:w="3397" w:type="dxa"/>
          </w:tcPr>
          <w:p w14:paraId="0380B6D8" w14:textId="77777777" w:rsidR="009D0620" w:rsidRPr="00823FED" w:rsidRDefault="009D0620" w:rsidP="00716035">
            <w:pPr>
              <w:rPr>
                <w:rFonts w:ascii="Cambria" w:hAnsi="Cambria" w:cstheme="minorHAnsi"/>
              </w:rPr>
            </w:pPr>
            <w:r w:rsidRPr="00823FED">
              <w:rPr>
                <w:rFonts w:ascii="Cambria" w:hAnsi="Cambria" w:cstheme="minorHAnsi"/>
              </w:rPr>
              <w:t>Служители от МВнР</w:t>
            </w:r>
            <w:r w:rsidR="00EE14A9" w:rsidRPr="00823FED">
              <w:rPr>
                <w:rFonts w:ascii="Cambria" w:hAnsi="Cambria" w:cstheme="minorHAnsi"/>
              </w:rPr>
              <w:t xml:space="preserve"> и държавната администрация</w:t>
            </w:r>
            <w:r w:rsidRPr="00823FED">
              <w:rPr>
                <w:rFonts w:ascii="Cambria" w:hAnsi="Cambria" w:cstheme="minorHAnsi"/>
              </w:rPr>
              <w:t>, обучавани в програми на Дипломатическия институт</w:t>
            </w:r>
          </w:p>
        </w:tc>
        <w:tc>
          <w:tcPr>
            <w:tcW w:w="2718" w:type="dxa"/>
          </w:tcPr>
          <w:p w14:paraId="7BF33D81" w14:textId="77777777" w:rsidR="009D0620" w:rsidRPr="00823FED" w:rsidRDefault="009D0620" w:rsidP="00716035">
            <w:pPr>
              <w:rPr>
                <w:rFonts w:ascii="Cambria" w:hAnsi="Cambria" w:cstheme="minorHAnsi"/>
              </w:rPr>
            </w:pPr>
            <w:r w:rsidRPr="00823FED">
              <w:rPr>
                <w:rFonts w:ascii="Cambria" w:hAnsi="Cambria" w:cstheme="minorHAnsi"/>
              </w:rPr>
              <w:t>Брой</w:t>
            </w:r>
          </w:p>
        </w:tc>
        <w:tc>
          <w:tcPr>
            <w:tcW w:w="3240" w:type="dxa"/>
          </w:tcPr>
          <w:p w14:paraId="3D8B712E" w14:textId="77777777" w:rsidR="009D0620" w:rsidRPr="00823FED" w:rsidRDefault="001B6F21" w:rsidP="00716035">
            <w:pPr>
              <w:rPr>
                <w:rFonts w:ascii="Cambria" w:hAnsi="Cambria" w:cstheme="minorHAnsi"/>
              </w:rPr>
            </w:pPr>
            <w:r w:rsidRPr="00823FED">
              <w:rPr>
                <w:rFonts w:ascii="Cambria" w:hAnsi="Cambria" w:cstheme="minorHAnsi"/>
              </w:rPr>
              <w:t>Посочени са в показателите за изпълнение в Програма 1100.02.01 на програмния бюджет на МВнР</w:t>
            </w:r>
          </w:p>
        </w:tc>
      </w:tr>
      <w:tr w:rsidR="005F5D96" w:rsidRPr="00823FED" w14:paraId="2A90EA27" w14:textId="77777777" w:rsidTr="004861F5">
        <w:tc>
          <w:tcPr>
            <w:tcW w:w="3397" w:type="dxa"/>
          </w:tcPr>
          <w:p w14:paraId="70CFCFE5" w14:textId="77777777" w:rsidR="00EE14A9" w:rsidRPr="00823FED" w:rsidRDefault="00EE14A9" w:rsidP="00716035">
            <w:pPr>
              <w:rPr>
                <w:rFonts w:ascii="Cambria" w:hAnsi="Cambria" w:cstheme="minorHAnsi"/>
              </w:rPr>
            </w:pPr>
            <w:r w:rsidRPr="00823FED">
              <w:rPr>
                <w:rFonts w:ascii="Cambria" w:hAnsi="Cambria" w:cstheme="minorHAnsi"/>
              </w:rPr>
              <w:t>Реализирани проекти/инициативи със задграничните мисии, с българските артистични общности в чужбина и други партньори от ДКИ</w:t>
            </w:r>
          </w:p>
        </w:tc>
        <w:tc>
          <w:tcPr>
            <w:tcW w:w="2718" w:type="dxa"/>
          </w:tcPr>
          <w:p w14:paraId="6F6780F2" w14:textId="77777777" w:rsidR="00EE14A9" w:rsidRPr="00823FED" w:rsidRDefault="00EE14A9" w:rsidP="00716035">
            <w:pPr>
              <w:rPr>
                <w:rFonts w:ascii="Cambria" w:hAnsi="Cambria" w:cstheme="minorHAnsi"/>
              </w:rPr>
            </w:pPr>
            <w:r w:rsidRPr="00823FED">
              <w:rPr>
                <w:rFonts w:ascii="Cambria" w:hAnsi="Cambria" w:cstheme="minorHAnsi"/>
              </w:rPr>
              <w:t>Брой</w:t>
            </w:r>
          </w:p>
        </w:tc>
        <w:tc>
          <w:tcPr>
            <w:tcW w:w="3240" w:type="dxa"/>
          </w:tcPr>
          <w:p w14:paraId="70CAAE62" w14:textId="77777777" w:rsidR="00EE14A9" w:rsidRPr="00823FED" w:rsidRDefault="001B6F21" w:rsidP="001B6F21">
            <w:pPr>
              <w:rPr>
                <w:rFonts w:ascii="Cambria" w:hAnsi="Cambria" w:cstheme="minorHAnsi"/>
              </w:rPr>
            </w:pPr>
            <w:r w:rsidRPr="00823FED">
              <w:rPr>
                <w:rFonts w:ascii="Cambria" w:hAnsi="Cambria" w:cstheme="minorHAnsi"/>
              </w:rPr>
              <w:t>Посочени са в показателите за изпълнение в Програма 1100.02.02 на програмния бюджет на МВнР</w:t>
            </w:r>
          </w:p>
        </w:tc>
      </w:tr>
      <w:tr w:rsidR="005F5D96" w:rsidRPr="00823FED" w14:paraId="2192E97C" w14:textId="77777777" w:rsidTr="004861F5">
        <w:tc>
          <w:tcPr>
            <w:tcW w:w="3397" w:type="dxa"/>
          </w:tcPr>
          <w:p w14:paraId="14739A16" w14:textId="77777777" w:rsidR="00EE14A9" w:rsidRPr="00823FED" w:rsidRDefault="00EE14A9" w:rsidP="00716035">
            <w:pPr>
              <w:rPr>
                <w:rFonts w:ascii="Cambria" w:hAnsi="Cambria" w:cstheme="minorHAnsi"/>
              </w:rPr>
            </w:pPr>
            <w:r w:rsidRPr="00823FED">
              <w:rPr>
                <w:rFonts w:ascii="Cambria" w:hAnsi="Cambria" w:cstheme="minorHAnsi"/>
              </w:rPr>
              <w:t>Управление и поддържане на Художествения фонд, експозиции в галерия „Мисията”</w:t>
            </w:r>
          </w:p>
        </w:tc>
        <w:tc>
          <w:tcPr>
            <w:tcW w:w="2718" w:type="dxa"/>
          </w:tcPr>
          <w:p w14:paraId="31EAEF25" w14:textId="77777777" w:rsidR="00EE14A9" w:rsidRPr="00823FED" w:rsidRDefault="00EE14A9" w:rsidP="00716035">
            <w:pPr>
              <w:rPr>
                <w:rFonts w:ascii="Cambria" w:hAnsi="Cambria" w:cstheme="minorHAnsi"/>
              </w:rPr>
            </w:pPr>
            <w:r w:rsidRPr="00823FED">
              <w:rPr>
                <w:rFonts w:ascii="Cambria" w:hAnsi="Cambria" w:cstheme="minorHAnsi"/>
              </w:rPr>
              <w:t>Брой</w:t>
            </w:r>
          </w:p>
        </w:tc>
        <w:tc>
          <w:tcPr>
            <w:tcW w:w="3240" w:type="dxa"/>
          </w:tcPr>
          <w:p w14:paraId="1CE53E47" w14:textId="77777777" w:rsidR="00EE14A9" w:rsidRPr="00823FED" w:rsidRDefault="001B6F21" w:rsidP="001B6F21">
            <w:pPr>
              <w:rPr>
                <w:rFonts w:ascii="Cambria" w:hAnsi="Cambria" w:cstheme="minorHAnsi"/>
              </w:rPr>
            </w:pPr>
            <w:r w:rsidRPr="00823FED">
              <w:rPr>
                <w:rFonts w:ascii="Cambria" w:hAnsi="Cambria" w:cstheme="minorHAnsi"/>
              </w:rPr>
              <w:t>Посочени са в показателите за изпълнение в Програма 1100.02.02 на програмния бюджет на МВнР</w:t>
            </w:r>
          </w:p>
        </w:tc>
      </w:tr>
      <w:tr w:rsidR="005F5D96" w:rsidRPr="00823FED" w14:paraId="1BCAD82E" w14:textId="77777777" w:rsidTr="004861F5">
        <w:tc>
          <w:tcPr>
            <w:tcW w:w="3397" w:type="dxa"/>
          </w:tcPr>
          <w:p w14:paraId="1C13FCA9" w14:textId="77777777" w:rsidR="00EE14A9" w:rsidRPr="00823FED" w:rsidRDefault="00EE14A9" w:rsidP="00716035">
            <w:pPr>
              <w:rPr>
                <w:rFonts w:ascii="Cambria" w:hAnsi="Cambria" w:cstheme="minorHAnsi"/>
              </w:rPr>
            </w:pPr>
            <w:r w:rsidRPr="00823FED">
              <w:rPr>
                <w:rFonts w:ascii="Cambria" w:hAnsi="Cambria" w:cstheme="minorHAnsi"/>
              </w:rPr>
              <w:t>Дейности и продукти на ДКИ, насочени към основните партньори.</w:t>
            </w:r>
          </w:p>
        </w:tc>
        <w:tc>
          <w:tcPr>
            <w:tcW w:w="2718" w:type="dxa"/>
          </w:tcPr>
          <w:p w14:paraId="45D0A53A" w14:textId="77777777" w:rsidR="00EE14A9" w:rsidRPr="00823FED" w:rsidRDefault="00EE14A9" w:rsidP="00716035">
            <w:pPr>
              <w:rPr>
                <w:rFonts w:ascii="Cambria" w:hAnsi="Cambria" w:cstheme="minorHAnsi"/>
              </w:rPr>
            </w:pPr>
            <w:r w:rsidRPr="00823FED">
              <w:rPr>
                <w:rFonts w:ascii="Cambria" w:hAnsi="Cambria" w:cstheme="minorHAnsi"/>
              </w:rPr>
              <w:t>Брой</w:t>
            </w:r>
          </w:p>
        </w:tc>
        <w:tc>
          <w:tcPr>
            <w:tcW w:w="3240" w:type="dxa"/>
          </w:tcPr>
          <w:p w14:paraId="705F86FF" w14:textId="77777777" w:rsidR="00EE14A9" w:rsidRPr="00823FED" w:rsidRDefault="001B6F21" w:rsidP="00716035">
            <w:pPr>
              <w:rPr>
                <w:rFonts w:ascii="Cambria" w:hAnsi="Cambria" w:cstheme="minorHAnsi"/>
              </w:rPr>
            </w:pPr>
            <w:r w:rsidRPr="00823FED">
              <w:rPr>
                <w:rFonts w:ascii="Cambria" w:hAnsi="Cambria" w:cstheme="minorHAnsi"/>
              </w:rPr>
              <w:t>Посочени са в показателите за изпълнение в Програма 1100.02.02 на програмния бюджет на МВнР</w:t>
            </w:r>
          </w:p>
        </w:tc>
      </w:tr>
      <w:tr w:rsidR="005F5D96" w:rsidRPr="00823FED" w14:paraId="47D61645" w14:textId="77777777" w:rsidTr="004861F5">
        <w:tc>
          <w:tcPr>
            <w:tcW w:w="3397" w:type="dxa"/>
          </w:tcPr>
          <w:p w14:paraId="4FD413C8" w14:textId="79AC3871" w:rsidR="009D0620" w:rsidRPr="00823FED" w:rsidRDefault="00502651" w:rsidP="00502651">
            <w:pPr>
              <w:rPr>
                <w:rFonts w:ascii="Cambria" w:hAnsi="Cambria" w:cstheme="minorHAnsi"/>
              </w:rPr>
            </w:pPr>
            <w:r>
              <w:rPr>
                <w:rFonts w:ascii="Cambria" w:hAnsi="Cambria" w:cstheme="minorHAnsi"/>
              </w:rPr>
              <w:t>Публична дейност</w:t>
            </w:r>
            <w:r w:rsidR="00AC2A2D">
              <w:rPr>
                <w:rFonts w:ascii="Cambria" w:hAnsi="Cambria" w:cstheme="minorHAnsi"/>
              </w:rPr>
              <w:t xml:space="preserve"> на МВн</w:t>
            </w:r>
            <w:r w:rsidR="009D0620" w:rsidRPr="00823FED">
              <w:rPr>
                <w:rFonts w:ascii="Cambria" w:hAnsi="Cambria" w:cstheme="minorHAnsi"/>
              </w:rPr>
              <w:t>Р</w:t>
            </w:r>
          </w:p>
        </w:tc>
        <w:tc>
          <w:tcPr>
            <w:tcW w:w="2718" w:type="dxa"/>
            <w:vAlign w:val="center"/>
          </w:tcPr>
          <w:p w14:paraId="1607CCE8" w14:textId="77777777" w:rsidR="009D0620" w:rsidRPr="00823FED" w:rsidRDefault="009D0620" w:rsidP="00716035">
            <w:pPr>
              <w:rPr>
                <w:rFonts w:ascii="Cambria" w:hAnsi="Cambria" w:cstheme="minorHAnsi"/>
              </w:rPr>
            </w:pPr>
            <w:r w:rsidRPr="00823FED">
              <w:rPr>
                <w:rFonts w:ascii="Cambria" w:hAnsi="Cambria" w:cstheme="minorHAnsi"/>
              </w:rPr>
              <w:t>Степен на откритост на външнополитическите действия в съответствие с нормативните документи</w:t>
            </w:r>
          </w:p>
        </w:tc>
        <w:tc>
          <w:tcPr>
            <w:tcW w:w="3240" w:type="dxa"/>
            <w:vAlign w:val="center"/>
          </w:tcPr>
          <w:p w14:paraId="444C8D50" w14:textId="77777777" w:rsidR="009D0620" w:rsidRPr="00823FED" w:rsidRDefault="009D0620" w:rsidP="00716035">
            <w:pPr>
              <w:rPr>
                <w:rFonts w:ascii="Cambria" w:hAnsi="Cambria" w:cstheme="minorHAnsi"/>
              </w:rPr>
            </w:pPr>
            <w:r w:rsidRPr="00823FED">
              <w:rPr>
                <w:rFonts w:ascii="Cambria" w:hAnsi="Cambria" w:cstheme="minorHAnsi"/>
              </w:rPr>
              <w:t>100 %</w:t>
            </w:r>
          </w:p>
        </w:tc>
      </w:tr>
    </w:tbl>
    <w:p w14:paraId="7B213798" w14:textId="77777777" w:rsidR="009D0620" w:rsidRPr="00823FED" w:rsidRDefault="009D0620" w:rsidP="00716035">
      <w:pPr>
        <w:spacing w:after="0" w:line="240" w:lineRule="auto"/>
        <w:ind w:firstLine="284"/>
        <w:jc w:val="both"/>
        <w:rPr>
          <w:rFonts w:ascii="Cambria" w:hAnsi="Cambria" w:cstheme="minorHAnsi"/>
        </w:rPr>
      </w:pPr>
    </w:p>
    <w:p w14:paraId="445EBCF4" w14:textId="77777777" w:rsidR="00DD0946" w:rsidRPr="00823FED" w:rsidRDefault="00CF6B20" w:rsidP="00716035">
      <w:pPr>
        <w:spacing w:after="0" w:line="240" w:lineRule="auto"/>
        <w:jc w:val="both"/>
        <w:rPr>
          <w:rFonts w:ascii="Cambria" w:hAnsi="Cambria" w:cstheme="minorHAnsi"/>
          <w:b/>
          <w:bCs/>
          <w:color w:val="548DD4" w:themeColor="text2" w:themeTint="99"/>
        </w:rPr>
      </w:pPr>
      <w:r w:rsidRPr="00823FED">
        <w:rPr>
          <w:rFonts w:ascii="Cambria" w:hAnsi="Cambria" w:cstheme="minorHAnsi"/>
          <w:b/>
          <w:bCs/>
          <w:color w:val="548DD4" w:themeColor="text2" w:themeTint="99"/>
        </w:rPr>
        <w:t>По отношение на набелязаните ключови индикатори следва да се отчете:</w:t>
      </w:r>
    </w:p>
    <w:p w14:paraId="0183A480" w14:textId="77777777" w:rsidR="007B346C" w:rsidRPr="00823FED" w:rsidRDefault="007B346C" w:rsidP="00716035">
      <w:pPr>
        <w:spacing w:after="0" w:line="240" w:lineRule="auto"/>
        <w:jc w:val="both"/>
        <w:rPr>
          <w:rFonts w:ascii="Cambria" w:hAnsi="Cambria" w:cstheme="minorHAnsi"/>
          <w:b/>
          <w:i/>
        </w:rPr>
      </w:pPr>
    </w:p>
    <w:p w14:paraId="12C9847C"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bookmarkStart w:id="1" w:name="_Toc492981931"/>
      <w:r w:rsidRPr="00716035">
        <w:rPr>
          <w:rFonts w:ascii="Cambria" w:hAnsi="Cambria" w:cs="Times New Roman"/>
          <w:b/>
          <w:bCs/>
          <w:color w:val="548DD4" w:themeColor="text2" w:themeTint="99"/>
        </w:rPr>
        <w:t>Публични дейности, организирани от ДИ</w:t>
      </w:r>
    </w:p>
    <w:p w14:paraId="57EC4956" w14:textId="77777777" w:rsidR="001000BF" w:rsidRPr="005F5D96" w:rsidRDefault="001000BF" w:rsidP="001000BF">
      <w:pPr>
        <w:pStyle w:val="text"/>
        <w:spacing w:after="0"/>
        <w:ind w:firstLine="360"/>
        <w:rPr>
          <w:rFonts w:ascii="Cambria" w:hAnsi="Cambria"/>
          <w:bCs/>
          <w:iCs/>
          <w:sz w:val="22"/>
          <w:szCs w:val="22"/>
          <w:lang w:val="bg-BG"/>
        </w:rPr>
      </w:pPr>
      <w:r w:rsidRPr="005F5D96">
        <w:rPr>
          <w:rFonts w:ascii="Cambria" w:hAnsi="Cambria"/>
          <w:bCs/>
          <w:iCs/>
          <w:sz w:val="22"/>
          <w:szCs w:val="22"/>
          <w:lang w:val="bg-BG"/>
        </w:rPr>
        <w:t>В отчетния период бяха</w:t>
      </w:r>
      <w:r>
        <w:rPr>
          <w:rFonts w:ascii="Cambria" w:hAnsi="Cambria"/>
          <w:bCs/>
          <w:iCs/>
          <w:sz w:val="22"/>
          <w:szCs w:val="22"/>
          <w:lang w:val="bg-BG"/>
        </w:rPr>
        <w:t xml:space="preserve"> организирани 3 публични лекции и к</w:t>
      </w:r>
      <w:r w:rsidRPr="005F5D96">
        <w:rPr>
          <w:rFonts w:ascii="Cambria" w:hAnsi="Cambria"/>
          <w:bCs/>
          <w:iCs/>
          <w:sz w:val="22"/>
          <w:szCs w:val="22"/>
          <w:lang w:val="bg-BG"/>
        </w:rPr>
        <w:t>о</w:t>
      </w:r>
      <w:r>
        <w:rPr>
          <w:rFonts w:ascii="Cambria" w:hAnsi="Cambria"/>
          <w:bCs/>
          <w:iCs/>
          <w:sz w:val="22"/>
          <w:szCs w:val="22"/>
          <w:lang w:val="bg-BG"/>
        </w:rPr>
        <w:t>нференции по различни външнополитически теми. В сътрудничество с чуждестранни партньори бяха проведени 6 публични прояви</w:t>
      </w:r>
      <w:r w:rsidRPr="005F5D96">
        <w:rPr>
          <w:rFonts w:ascii="Cambria" w:hAnsi="Cambria"/>
          <w:bCs/>
          <w:iCs/>
          <w:sz w:val="22"/>
          <w:szCs w:val="22"/>
        </w:rPr>
        <w:t>.</w:t>
      </w:r>
    </w:p>
    <w:p w14:paraId="1EC63C3D"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p>
    <w:p w14:paraId="3601BB64"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r w:rsidRPr="00716035">
        <w:rPr>
          <w:rFonts w:ascii="Cambria" w:hAnsi="Cambria" w:cs="Times New Roman"/>
          <w:b/>
          <w:bCs/>
          <w:color w:val="548DD4" w:themeColor="text2" w:themeTint="99"/>
        </w:rPr>
        <w:t>Служители от МВнР и от държавната администрация, обучавани в програми на Дипломатическия институт</w:t>
      </w:r>
    </w:p>
    <w:p w14:paraId="7B7EACE3" w14:textId="77777777" w:rsidR="001000BF" w:rsidRPr="005F5D96" w:rsidRDefault="001000BF" w:rsidP="001000BF">
      <w:pPr>
        <w:pStyle w:val="text"/>
        <w:spacing w:after="0"/>
        <w:ind w:firstLine="360"/>
        <w:rPr>
          <w:rFonts w:ascii="Cambria" w:hAnsi="Cambria"/>
          <w:sz w:val="22"/>
          <w:szCs w:val="22"/>
          <w:lang w:val="bg-BG"/>
        </w:rPr>
      </w:pPr>
      <w:r>
        <w:rPr>
          <w:rFonts w:ascii="Cambria" w:hAnsi="Cambria"/>
          <w:bCs/>
          <w:sz w:val="22"/>
          <w:szCs w:val="22"/>
          <w:lang w:val="bg-BG"/>
        </w:rPr>
        <w:t>През първото полугодие на 2021 г. Дипломатическият институт проведе 12 обучителни курса и семинара, в т.ч. и курс по чуждоезикова подготовка за служителите на министерството</w:t>
      </w:r>
      <w:r w:rsidRPr="005F5D96">
        <w:rPr>
          <w:rFonts w:ascii="Cambria" w:hAnsi="Cambria"/>
          <w:sz w:val="22"/>
          <w:szCs w:val="22"/>
          <w:lang w:val="bg-BG"/>
        </w:rPr>
        <w:t>.</w:t>
      </w:r>
    </w:p>
    <w:p w14:paraId="45BB7E32"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r w:rsidRPr="00716035">
        <w:rPr>
          <w:rFonts w:ascii="Cambria" w:hAnsi="Cambria" w:cs="Times New Roman"/>
          <w:b/>
          <w:bCs/>
          <w:color w:val="548DD4" w:themeColor="text2" w:themeTint="99"/>
        </w:rPr>
        <w:tab/>
      </w:r>
    </w:p>
    <w:p w14:paraId="44E51636"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r w:rsidRPr="00716035">
        <w:rPr>
          <w:rFonts w:ascii="Cambria" w:hAnsi="Cambria" w:cs="Times New Roman"/>
          <w:b/>
          <w:bCs/>
          <w:color w:val="548DD4" w:themeColor="text2" w:themeTint="99"/>
        </w:rPr>
        <w:t>Реализирани проекти/инициативи със задграничните мисии, с българските артистични общности в чужбина и други партньори от ДКИ</w:t>
      </w:r>
    </w:p>
    <w:p w14:paraId="2391EB7D" w14:textId="758A694F" w:rsidR="001000BF" w:rsidRPr="005F5D96" w:rsidRDefault="001000BF" w:rsidP="001000BF">
      <w:pPr>
        <w:autoSpaceDE w:val="0"/>
        <w:autoSpaceDN w:val="0"/>
        <w:adjustRightInd w:val="0"/>
        <w:spacing w:after="0" w:line="240" w:lineRule="auto"/>
        <w:ind w:firstLine="284"/>
        <w:jc w:val="both"/>
        <w:rPr>
          <w:rFonts w:ascii="Cambria" w:eastAsia="Times New Roman" w:hAnsi="Cambria" w:cs="Times New Roman"/>
        </w:rPr>
      </w:pPr>
      <w:r w:rsidRPr="005F5D96">
        <w:rPr>
          <w:rFonts w:ascii="Cambria" w:eastAsia="Times New Roman" w:hAnsi="Cambria" w:cs="Times New Roman"/>
        </w:rPr>
        <w:t xml:space="preserve">През отчетния период, </w:t>
      </w:r>
      <w:r>
        <w:rPr>
          <w:rFonts w:ascii="Cambria" w:eastAsia="Times New Roman" w:hAnsi="Cambria" w:cs="Times New Roman"/>
        </w:rPr>
        <w:t xml:space="preserve">ДКИ съвместно със ЗП </w:t>
      </w:r>
      <w:proofErr w:type="spellStart"/>
      <w:r>
        <w:rPr>
          <w:rFonts w:ascii="Cambria" w:eastAsia="Times New Roman" w:hAnsi="Cambria" w:cs="Times New Roman"/>
        </w:rPr>
        <w:t>промотираха</w:t>
      </w:r>
      <w:proofErr w:type="spellEnd"/>
      <w:r w:rsidRPr="005F5D96">
        <w:rPr>
          <w:rFonts w:ascii="Cambria" w:eastAsia="Times New Roman" w:hAnsi="Cambria" w:cs="Times New Roman"/>
        </w:rPr>
        <w:t xml:space="preserve"> български филмови продукции и подпомагаха българско участие в международни филмови фестивали. Институтът предостави на програмите на мисиите 5</w:t>
      </w:r>
      <w:r w:rsidRPr="005F5D96">
        <w:rPr>
          <w:rFonts w:ascii="Cambria" w:hAnsi="Cambria"/>
        </w:rPr>
        <w:t xml:space="preserve"> </w:t>
      </w:r>
      <w:r w:rsidRPr="005F5D96">
        <w:rPr>
          <w:rFonts w:ascii="Cambria" w:eastAsia="Times New Roman" w:hAnsi="Cambria" w:cs="Times New Roman"/>
        </w:rPr>
        <w:t>изложби от проекта „Пътуващи експозиции“.  Изготвени са дигитални продукти, с които ЗП да отбележат значими за България дати и събития.</w:t>
      </w:r>
      <w:r w:rsidRPr="005F5D96">
        <w:rPr>
          <w:rFonts w:ascii="Cambria" w:eastAsia="Times New Roman" w:hAnsi="Cambria" w:cs="Times New Roman"/>
          <w:b/>
        </w:rPr>
        <w:t xml:space="preserve">  </w:t>
      </w:r>
    </w:p>
    <w:p w14:paraId="3003D408"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p>
    <w:p w14:paraId="70AAB647"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r>
        <w:rPr>
          <w:rFonts w:ascii="Cambria" w:hAnsi="Cambria" w:cs="Times New Roman"/>
          <w:b/>
          <w:bCs/>
          <w:color w:val="548DD4" w:themeColor="text2" w:themeTint="99"/>
        </w:rPr>
        <w:lastRenderedPageBreak/>
        <w:t>Публичност на дейността на МВн</w:t>
      </w:r>
      <w:r w:rsidRPr="00716035">
        <w:rPr>
          <w:rFonts w:ascii="Cambria" w:hAnsi="Cambria" w:cs="Times New Roman"/>
          <w:b/>
          <w:bCs/>
          <w:color w:val="548DD4" w:themeColor="text2" w:themeTint="99"/>
        </w:rPr>
        <w:t>Р</w:t>
      </w:r>
    </w:p>
    <w:p w14:paraId="601FB27C" w14:textId="7547467C" w:rsidR="001000BF" w:rsidRPr="005F5D96" w:rsidRDefault="001000BF" w:rsidP="001000BF">
      <w:pPr>
        <w:pStyle w:val="NoSpacing"/>
        <w:ind w:firstLine="426"/>
        <w:jc w:val="both"/>
        <w:rPr>
          <w:rFonts w:ascii="Cambria" w:hAnsi="Cambria"/>
        </w:rPr>
      </w:pPr>
      <w:r w:rsidRPr="005F5D96">
        <w:rPr>
          <w:rFonts w:ascii="Cambria" w:hAnsi="Cambria"/>
        </w:rPr>
        <w:t>През първото полугодие на 2021 г.</w:t>
      </w:r>
      <w:r>
        <w:rPr>
          <w:rFonts w:ascii="Cambria" w:hAnsi="Cambria"/>
        </w:rPr>
        <w:t xml:space="preserve"> дейността на министъра и ведомството бе </w:t>
      </w:r>
      <w:r w:rsidRPr="005F5D96">
        <w:rPr>
          <w:rFonts w:ascii="Cambria" w:hAnsi="Cambria"/>
        </w:rPr>
        <w:t>публично</w:t>
      </w:r>
      <w:r>
        <w:rPr>
          <w:rFonts w:ascii="Cambria" w:hAnsi="Cambria"/>
        </w:rPr>
        <w:t xml:space="preserve"> </w:t>
      </w:r>
      <w:r w:rsidRPr="005F5D96">
        <w:rPr>
          <w:rFonts w:ascii="Cambria" w:hAnsi="Cambria"/>
        </w:rPr>
        <w:t>представян</w:t>
      </w:r>
      <w:r>
        <w:rPr>
          <w:rFonts w:ascii="Cambria" w:hAnsi="Cambria"/>
        </w:rPr>
        <w:t>а</w:t>
      </w:r>
      <w:r w:rsidRPr="005F5D96">
        <w:rPr>
          <w:rFonts w:ascii="Cambria" w:hAnsi="Cambria"/>
        </w:rPr>
        <w:t xml:space="preserve"> чрез изготвяне и публикуване на съобщения до медиите от двустранни срещи, визити, участия в международни конференции и форуми и други събития от обществено значим характер</w:t>
      </w:r>
      <w:r>
        <w:rPr>
          <w:rFonts w:ascii="Cambria" w:hAnsi="Cambria"/>
        </w:rPr>
        <w:t>.</w:t>
      </w:r>
      <w:r w:rsidRPr="005F5D96">
        <w:rPr>
          <w:rFonts w:ascii="Cambria" w:hAnsi="Cambria"/>
        </w:rPr>
        <w:t xml:space="preserve"> Бяха изготвяни изявления на министъра и </w:t>
      </w:r>
      <w:r>
        <w:rPr>
          <w:rFonts w:ascii="Cambria" w:hAnsi="Cambria"/>
        </w:rPr>
        <w:t xml:space="preserve">бяха подготвяни </w:t>
      </w:r>
      <w:r w:rsidRPr="005F5D96">
        <w:rPr>
          <w:rFonts w:ascii="Cambria" w:hAnsi="Cambria"/>
        </w:rPr>
        <w:t>интервюта за медиите. Поддържа</w:t>
      </w:r>
      <w:r>
        <w:rPr>
          <w:rFonts w:ascii="Cambria" w:hAnsi="Cambria"/>
        </w:rPr>
        <w:t xml:space="preserve">но бе </w:t>
      </w:r>
      <w:r w:rsidRPr="005F5D96">
        <w:rPr>
          <w:rFonts w:ascii="Cambria" w:hAnsi="Cambria"/>
        </w:rPr>
        <w:t xml:space="preserve">унифицираното присъствие на МВнР и задграничните представителства на Република България в интернет, включително чрез </w:t>
      </w:r>
      <w:r>
        <w:rPr>
          <w:rFonts w:ascii="Cambria" w:hAnsi="Cambria"/>
        </w:rPr>
        <w:t>ежедневно</w:t>
      </w:r>
      <w:r w:rsidRPr="005F5D96">
        <w:rPr>
          <w:rFonts w:ascii="Cambria" w:hAnsi="Cambria"/>
        </w:rPr>
        <w:t xml:space="preserve"> обновяване на интернет страницата и профилите на министерството и н</w:t>
      </w:r>
      <w:r>
        <w:rPr>
          <w:rFonts w:ascii="Cambria" w:hAnsi="Cambria"/>
        </w:rPr>
        <w:t>а министъра в социалните мрежи.</w:t>
      </w:r>
    </w:p>
    <w:p w14:paraId="3B0F2014" w14:textId="77777777" w:rsidR="001000BF" w:rsidRPr="00716035" w:rsidRDefault="001000BF" w:rsidP="001000BF">
      <w:pPr>
        <w:autoSpaceDE w:val="0"/>
        <w:autoSpaceDN w:val="0"/>
        <w:adjustRightInd w:val="0"/>
        <w:spacing w:after="0" w:line="240" w:lineRule="auto"/>
        <w:jc w:val="both"/>
        <w:rPr>
          <w:rFonts w:ascii="Cambria" w:hAnsi="Cambria" w:cs="Times New Roman"/>
        </w:rPr>
      </w:pPr>
    </w:p>
    <w:p w14:paraId="596AF7B6" w14:textId="77777777" w:rsidR="008B3BAB" w:rsidRPr="00823FED" w:rsidRDefault="00A23258" w:rsidP="00716035">
      <w:pPr>
        <w:pStyle w:val="Heading1"/>
        <w:shd w:val="clear" w:color="auto" w:fill="FBD4B4" w:themeFill="accent6" w:themeFillTint="66"/>
        <w:ind w:firstLine="0"/>
        <w:rPr>
          <w:rFonts w:ascii="Cambria" w:hAnsi="Cambria" w:cstheme="minorHAnsi"/>
          <w:sz w:val="22"/>
          <w:szCs w:val="22"/>
        </w:rPr>
      </w:pPr>
      <w:r w:rsidRPr="00823FED">
        <w:rPr>
          <w:rFonts w:ascii="Cambria" w:hAnsi="Cambria" w:cstheme="minorHAnsi"/>
          <w:sz w:val="22"/>
          <w:szCs w:val="22"/>
        </w:rPr>
        <w:t>Област на политика:</w:t>
      </w:r>
      <w:r w:rsidR="008B3BAB" w:rsidRPr="00823FED">
        <w:rPr>
          <w:rFonts w:ascii="Cambria" w:hAnsi="Cambria" w:cstheme="minorHAnsi"/>
          <w:sz w:val="22"/>
          <w:szCs w:val="22"/>
        </w:rPr>
        <w:t xml:space="preserve"> „активна двустранна и многостранна дипломация“</w:t>
      </w:r>
      <w:bookmarkEnd w:id="1"/>
    </w:p>
    <w:p w14:paraId="77ADEECF" w14:textId="77777777" w:rsidR="00A23258" w:rsidRPr="00823FED" w:rsidRDefault="00A23258" w:rsidP="00716035">
      <w:pPr>
        <w:autoSpaceDE w:val="0"/>
        <w:autoSpaceDN w:val="0"/>
        <w:adjustRightInd w:val="0"/>
        <w:spacing w:after="0" w:line="240" w:lineRule="auto"/>
        <w:jc w:val="both"/>
        <w:rPr>
          <w:rFonts w:ascii="Cambria" w:hAnsi="Cambria" w:cstheme="minorHAnsi"/>
        </w:rPr>
      </w:pPr>
    </w:p>
    <w:p w14:paraId="66AF7867" w14:textId="77777777" w:rsidR="00257B22" w:rsidRPr="00823FED" w:rsidRDefault="00094B0D" w:rsidP="00716035">
      <w:pPr>
        <w:autoSpaceDE w:val="0"/>
        <w:autoSpaceDN w:val="0"/>
        <w:adjustRightInd w:val="0"/>
        <w:spacing w:after="0" w:line="240" w:lineRule="auto"/>
        <w:ind w:firstLine="450"/>
        <w:jc w:val="both"/>
        <w:rPr>
          <w:rFonts w:ascii="Cambria" w:hAnsi="Cambria" w:cstheme="minorHAnsi"/>
        </w:rPr>
      </w:pPr>
      <w:r w:rsidRPr="00823FED">
        <w:rPr>
          <w:rFonts w:ascii="Cambria" w:hAnsi="Cambria" w:cstheme="minorHAnsi"/>
        </w:rPr>
        <w:t>П</w:t>
      </w:r>
      <w:r w:rsidR="009026C4" w:rsidRPr="00823FED">
        <w:rPr>
          <w:rFonts w:ascii="Cambria" w:hAnsi="Cambria" w:cstheme="minorHAnsi"/>
        </w:rPr>
        <w:t>рез 20</w:t>
      </w:r>
      <w:r w:rsidR="00EC066D" w:rsidRPr="00823FED">
        <w:rPr>
          <w:rFonts w:ascii="Cambria" w:hAnsi="Cambria" w:cstheme="minorHAnsi"/>
        </w:rPr>
        <w:t>2</w:t>
      </w:r>
      <w:r w:rsidRPr="00823FED">
        <w:rPr>
          <w:rFonts w:ascii="Cambria" w:hAnsi="Cambria" w:cstheme="minorHAnsi"/>
        </w:rPr>
        <w:t>1</w:t>
      </w:r>
      <w:r w:rsidR="009026C4" w:rsidRPr="00823FED">
        <w:rPr>
          <w:rFonts w:ascii="Cambria" w:hAnsi="Cambria" w:cstheme="minorHAnsi"/>
        </w:rPr>
        <w:t xml:space="preserve"> г.</w:t>
      </w:r>
      <w:r w:rsidR="00703084" w:rsidRPr="00823FED">
        <w:rPr>
          <w:rFonts w:ascii="Cambria" w:hAnsi="Cambria" w:cstheme="minorHAnsi"/>
        </w:rPr>
        <w:t xml:space="preserve"> </w:t>
      </w:r>
      <w:r w:rsidR="00880B7B" w:rsidRPr="00823FED">
        <w:rPr>
          <w:rFonts w:ascii="Cambria" w:hAnsi="Cambria" w:cstheme="minorHAnsi"/>
        </w:rPr>
        <w:t xml:space="preserve">продължи </w:t>
      </w:r>
      <w:r w:rsidR="008B3BAB" w:rsidRPr="00823FED">
        <w:rPr>
          <w:rFonts w:ascii="Cambria" w:hAnsi="Cambria" w:cstheme="minorHAnsi"/>
        </w:rPr>
        <w:t>разработва</w:t>
      </w:r>
      <w:r w:rsidR="00880B7B" w:rsidRPr="00823FED">
        <w:rPr>
          <w:rFonts w:ascii="Cambria" w:hAnsi="Cambria" w:cstheme="minorHAnsi"/>
        </w:rPr>
        <w:t xml:space="preserve">нето </w:t>
      </w:r>
      <w:r w:rsidR="008B3BAB" w:rsidRPr="00823FED">
        <w:rPr>
          <w:rFonts w:ascii="Cambria" w:hAnsi="Cambria" w:cstheme="minorHAnsi"/>
        </w:rPr>
        <w:t xml:space="preserve">и </w:t>
      </w:r>
      <w:r w:rsidR="00880B7B" w:rsidRPr="00823FED">
        <w:rPr>
          <w:rFonts w:ascii="Cambria" w:hAnsi="Cambria" w:cstheme="minorHAnsi"/>
        </w:rPr>
        <w:t>отстояването</w:t>
      </w:r>
      <w:r w:rsidR="008B3BAB" w:rsidRPr="00823FED">
        <w:rPr>
          <w:rFonts w:ascii="Cambria" w:hAnsi="Cambria" w:cstheme="minorHAnsi"/>
        </w:rPr>
        <w:t xml:space="preserve"> на последователни </w:t>
      </w:r>
      <w:r w:rsidR="00880B7B" w:rsidRPr="00823FED">
        <w:rPr>
          <w:rFonts w:ascii="Cambria" w:hAnsi="Cambria" w:cstheme="minorHAnsi"/>
        </w:rPr>
        <w:t xml:space="preserve">аргументирани </w:t>
      </w:r>
      <w:r w:rsidR="008B3BAB" w:rsidRPr="00823FED">
        <w:rPr>
          <w:rFonts w:ascii="Cambria" w:hAnsi="Cambria" w:cstheme="minorHAnsi"/>
        </w:rPr>
        <w:t xml:space="preserve">национални позиции за защита на </w:t>
      </w:r>
      <w:r w:rsidR="00B755E2" w:rsidRPr="00823FED">
        <w:rPr>
          <w:rFonts w:ascii="Cambria" w:hAnsi="Cambria" w:cstheme="minorHAnsi"/>
        </w:rPr>
        <w:t>българските</w:t>
      </w:r>
      <w:r w:rsidR="008B3BAB" w:rsidRPr="00823FED">
        <w:rPr>
          <w:rFonts w:ascii="Cambria" w:hAnsi="Cambria" w:cstheme="minorHAnsi"/>
        </w:rPr>
        <w:t xml:space="preserve"> интереси</w:t>
      </w:r>
      <w:r w:rsidR="002C3FA3" w:rsidRPr="00823FED">
        <w:rPr>
          <w:rFonts w:ascii="Cambria" w:hAnsi="Cambria" w:cstheme="minorHAnsi"/>
        </w:rPr>
        <w:t>, в съответствие с външнополитическите приоритети на страната</w:t>
      </w:r>
      <w:r w:rsidR="008B3BAB" w:rsidRPr="00823FED">
        <w:rPr>
          <w:rFonts w:ascii="Cambria" w:hAnsi="Cambria" w:cstheme="minorHAnsi"/>
        </w:rPr>
        <w:t xml:space="preserve">. </w:t>
      </w:r>
    </w:p>
    <w:p w14:paraId="74AAF556" w14:textId="482D948A" w:rsidR="008B15B4" w:rsidRPr="00823FED" w:rsidRDefault="008B15B4" w:rsidP="00716035">
      <w:pPr>
        <w:autoSpaceDE w:val="0"/>
        <w:autoSpaceDN w:val="0"/>
        <w:adjustRightInd w:val="0"/>
        <w:spacing w:after="0" w:line="240" w:lineRule="auto"/>
        <w:ind w:firstLine="450"/>
        <w:jc w:val="both"/>
        <w:rPr>
          <w:rFonts w:ascii="Cambria" w:hAnsi="Cambria" w:cstheme="minorHAnsi"/>
        </w:rPr>
      </w:pPr>
      <w:r w:rsidRPr="00823FED">
        <w:rPr>
          <w:rFonts w:ascii="Cambria" w:hAnsi="Cambria" w:cstheme="minorHAnsi"/>
          <w:b/>
        </w:rPr>
        <w:t>Специфичният характер на политиката ограничава възможностите за нейното остойностяване с мерни единици.</w:t>
      </w:r>
      <w:r w:rsidRPr="00823FED">
        <w:rPr>
          <w:rFonts w:ascii="Cambria" w:hAnsi="Cambria" w:cstheme="minorHAnsi"/>
        </w:rPr>
        <w:t xml:space="preserve"> За целите на бюджетирането</w:t>
      </w:r>
      <w:r w:rsidR="00DB3BDE" w:rsidRPr="00823FED">
        <w:rPr>
          <w:rFonts w:ascii="Cambria" w:hAnsi="Cambria" w:cstheme="minorHAnsi"/>
        </w:rPr>
        <w:t xml:space="preserve"> </w:t>
      </w:r>
      <w:r w:rsidR="009026C4" w:rsidRPr="00823FED">
        <w:rPr>
          <w:rFonts w:ascii="Cambria" w:hAnsi="Cambria" w:cstheme="minorHAnsi"/>
        </w:rPr>
        <w:t>бяха</w:t>
      </w:r>
      <w:r w:rsidRPr="00823FED">
        <w:rPr>
          <w:rFonts w:ascii="Cambria" w:hAnsi="Cambria" w:cstheme="minorHAnsi"/>
        </w:rPr>
        <w:t xml:space="preserve"> подбрани определени индикатори, които да позволят мониторинг с условността, че </w:t>
      </w:r>
      <w:r w:rsidR="00B755E2" w:rsidRPr="00823FED">
        <w:rPr>
          <w:rFonts w:ascii="Cambria" w:hAnsi="Cambria" w:cstheme="minorHAnsi"/>
        </w:rPr>
        <w:t>ефектът от политиката като цяло е гарантирането на националната сигурност на страната</w:t>
      </w:r>
      <w:r w:rsidR="003D463A">
        <w:rPr>
          <w:rFonts w:ascii="Cambria" w:hAnsi="Cambria" w:cstheme="minorHAnsi"/>
        </w:rPr>
        <w:t xml:space="preserve"> и отстояването на българските интереси</w:t>
      </w:r>
      <w:r w:rsidR="000E557D" w:rsidRPr="00823FED">
        <w:rPr>
          <w:rFonts w:ascii="Cambria" w:hAnsi="Cambria" w:cstheme="minorHAnsi"/>
        </w:rPr>
        <w:t>. Дейностите са комплексни и с</w:t>
      </w:r>
      <w:r w:rsidR="00044170" w:rsidRPr="00823FED">
        <w:rPr>
          <w:rFonts w:ascii="Cambria" w:hAnsi="Cambria" w:cstheme="minorHAnsi"/>
        </w:rPr>
        <w:t xml:space="preserve"> развитие, което надхвърля рамката на програмното бюджетиране. </w:t>
      </w:r>
    </w:p>
    <w:p w14:paraId="5D92CFFD" w14:textId="77777777" w:rsidR="008B3BAB" w:rsidRPr="00823FED" w:rsidRDefault="008B3BAB" w:rsidP="00716035">
      <w:pPr>
        <w:spacing w:after="0" w:line="240" w:lineRule="auto"/>
        <w:jc w:val="both"/>
        <w:rPr>
          <w:rFonts w:ascii="Cambria" w:hAnsi="Cambria" w:cstheme="minorHAnsi"/>
          <w:i/>
          <w:color w:val="000000"/>
        </w:rPr>
      </w:pPr>
    </w:p>
    <w:tbl>
      <w:tblPr>
        <w:tblStyle w:val="TableGrid"/>
        <w:tblW w:w="9355" w:type="dxa"/>
        <w:tblLook w:val="04A0" w:firstRow="1" w:lastRow="0" w:firstColumn="1" w:lastColumn="0" w:noHBand="0" w:noVBand="1"/>
      </w:tblPr>
      <w:tblGrid>
        <w:gridCol w:w="2965"/>
        <w:gridCol w:w="3150"/>
        <w:gridCol w:w="3240"/>
      </w:tblGrid>
      <w:tr w:rsidR="005F5D96" w:rsidRPr="00823FED" w14:paraId="66A60E40" w14:textId="77777777" w:rsidTr="006B69C6">
        <w:tc>
          <w:tcPr>
            <w:tcW w:w="9355" w:type="dxa"/>
            <w:gridSpan w:val="3"/>
            <w:shd w:val="clear" w:color="auto" w:fill="FABF8F" w:themeFill="accent6" w:themeFillTint="99"/>
          </w:tcPr>
          <w:p w14:paraId="6441FE8A" w14:textId="77777777" w:rsidR="002C0885" w:rsidRPr="00823FED" w:rsidRDefault="002C0885" w:rsidP="00716035">
            <w:pPr>
              <w:jc w:val="center"/>
              <w:rPr>
                <w:rFonts w:ascii="Cambria" w:hAnsi="Cambria" w:cstheme="minorHAnsi"/>
                <w:b/>
                <w:iCs/>
              </w:rPr>
            </w:pPr>
            <w:r w:rsidRPr="00823FED">
              <w:rPr>
                <w:rFonts w:ascii="Cambria" w:hAnsi="Cambria" w:cstheme="minorHAnsi"/>
                <w:b/>
                <w:bCs/>
              </w:rPr>
              <w:t>КЛЮЧОВИ ИНДИКАТОРИ ЗА ИЗПЪЛНЕНИЕ И ЦЕЛЕВИ СТОЙНОСТИ</w:t>
            </w:r>
          </w:p>
          <w:p w14:paraId="52CEE7F9" w14:textId="77777777" w:rsidR="002C0885" w:rsidRPr="00823FED" w:rsidRDefault="002C0885" w:rsidP="00716035">
            <w:pPr>
              <w:jc w:val="center"/>
              <w:rPr>
                <w:rFonts w:ascii="Cambria" w:hAnsi="Cambria" w:cstheme="minorHAnsi"/>
                <w:b/>
                <w:bCs/>
                <w:iCs/>
              </w:rPr>
            </w:pPr>
            <w:r w:rsidRPr="00823FED">
              <w:rPr>
                <w:rFonts w:ascii="Cambria" w:hAnsi="Cambria" w:cstheme="minorHAnsi"/>
                <w:b/>
                <w:iCs/>
              </w:rPr>
              <w:t>Област на политика „Активна двустранна и многостранна дипломация“</w:t>
            </w:r>
          </w:p>
        </w:tc>
      </w:tr>
      <w:tr w:rsidR="005F5D96" w:rsidRPr="00823FED" w14:paraId="40EE3136" w14:textId="77777777" w:rsidTr="006B69C6">
        <w:tc>
          <w:tcPr>
            <w:tcW w:w="2965" w:type="dxa"/>
            <w:shd w:val="clear" w:color="auto" w:fill="FABF8F" w:themeFill="accent6" w:themeFillTint="99"/>
          </w:tcPr>
          <w:p w14:paraId="0B7DA271" w14:textId="77777777" w:rsidR="002C0885" w:rsidRPr="00823FED" w:rsidRDefault="002C0885" w:rsidP="00716035">
            <w:pPr>
              <w:jc w:val="both"/>
              <w:rPr>
                <w:rFonts w:ascii="Cambria" w:hAnsi="Cambria" w:cstheme="minorHAnsi"/>
              </w:rPr>
            </w:pPr>
            <w:r w:rsidRPr="00823FED">
              <w:rPr>
                <w:rFonts w:ascii="Cambria" w:hAnsi="Cambria" w:cstheme="minorHAnsi"/>
                <w:b/>
                <w:bCs/>
              </w:rPr>
              <w:t>Наименование на индикатора</w:t>
            </w:r>
          </w:p>
        </w:tc>
        <w:tc>
          <w:tcPr>
            <w:tcW w:w="3150" w:type="dxa"/>
            <w:shd w:val="clear" w:color="auto" w:fill="FABF8F" w:themeFill="accent6" w:themeFillTint="99"/>
          </w:tcPr>
          <w:p w14:paraId="6DCD7FD2" w14:textId="77777777" w:rsidR="002C0885" w:rsidRPr="00823FED" w:rsidRDefault="002C0885" w:rsidP="00716035">
            <w:pPr>
              <w:jc w:val="both"/>
              <w:rPr>
                <w:rFonts w:ascii="Cambria" w:hAnsi="Cambria" w:cstheme="minorHAnsi"/>
              </w:rPr>
            </w:pPr>
            <w:r w:rsidRPr="00823FED">
              <w:rPr>
                <w:rFonts w:ascii="Cambria" w:hAnsi="Cambria" w:cstheme="minorHAnsi"/>
                <w:b/>
                <w:bCs/>
              </w:rPr>
              <w:t>Мерна единица</w:t>
            </w:r>
          </w:p>
        </w:tc>
        <w:tc>
          <w:tcPr>
            <w:tcW w:w="3240" w:type="dxa"/>
            <w:shd w:val="clear" w:color="auto" w:fill="FABF8F" w:themeFill="accent6" w:themeFillTint="99"/>
          </w:tcPr>
          <w:p w14:paraId="7FAD9305" w14:textId="77777777" w:rsidR="002C0885" w:rsidRPr="00823FED" w:rsidRDefault="00EC066D" w:rsidP="00716035">
            <w:pPr>
              <w:jc w:val="both"/>
              <w:rPr>
                <w:rFonts w:ascii="Cambria" w:hAnsi="Cambria" w:cstheme="minorHAnsi"/>
              </w:rPr>
            </w:pPr>
            <w:r w:rsidRPr="00823FED">
              <w:rPr>
                <w:rFonts w:ascii="Cambria" w:hAnsi="Cambria" w:cstheme="minorHAnsi"/>
                <w:b/>
                <w:bCs/>
                <w:iCs/>
              </w:rPr>
              <w:t>Отчет</w:t>
            </w:r>
            <w:r w:rsidR="00B041E8" w:rsidRPr="00823FED">
              <w:rPr>
                <w:rFonts w:ascii="Cambria" w:hAnsi="Cambria" w:cstheme="minorHAnsi"/>
                <w:b/>
                <w:bCs/>
                <w:iCs/>
              </w:rPr>
              <w:t xml:space="preserve"> полугодие</w:t>
            </w:r>
            <w:r w:rsidR="002C0885" w:rsidRPr="00823FED">
              <w:rPr>
                <w:rFonts w:ascii="Cambria" w:hAnsi="Cambria" w:cstheme="minorHAnsi"/>
                <w:b/>
                <w:bCs/>
                <w:iCs/>
              </w:rPr>
              <w:t xml:space="preserve"> 20</w:t>
            </w:r>
            <w:r w:rsidR="00B041E8" w:rsidRPr="00823FED">
              <w:rPr>
                <w:rFonts w:ascii="Cambria" w:hAnsi="Cambria" w:cstheme="minorHAnsi"/>
                <w:b/>
                <w:bCs/>
                <w:iCs/>
              </w:rPr>
              <w:t>21</w:t>
            </w:r>
            <w:r w:rsidR="002C0885" w:rsidRPr="00823FED">
              <w:rPr>
                <w:rFonts w:ascii="Cambria" w:hAnsi="Cambria" w:cstheme="minorHAnsi"/>
                <w:b/>
                <w:bCs/>
                <w:iCs/>
              </w:rPr>
              <w:t xml:space="preserve"> г.</w:t>
            </w:r>
          </w:p>
        </w:tc>
      </w:tr>
      <w:tr w:rsidR="005F5D96" w:rsidRPr="00823FED" w14:paraId="5853E73D" w14:textId="77777777" w:rsidTr="005B7296">
        <w:tc>
          <w:tcPr>
            <w:tcW w:w="2965" w:type="dxa"/>
            <w:vAlign w:val="center"/>
          </w:tcPr>
          <w:p w14:paraId="0CE2AAFA" w14:textId="77777777" w:rsidR="00B041E8" w:rsidRPr="00823FED" w:rsidRDefault="00B041E8" w:rsidP="00B041E8">
            <w:pPr>
              <w:autoSpaceDE w:val="0"/>
              <w:autoSpaceDN w:val="0"/>
              <w:adjustRightInd w:val="0"/>
              <w:ind w:left="24"/>
              <w:rPr>
                <w:rFonts w:ascii="Cambria" w:hAnsi="Cambria" w:cstheme="minorHAnsi"/>
              </w:rPr>
            </w:pPr>
            <w:r w:rsidRPr="00823FED">
              <w:rPr>
                <w:rFonts w:ascii="Cambria" w:hAnsi="Cambria" w:cstheme="minorHAnsi"/>
              </w:rPr>
              <w:t>Ефективност на консулските служби на Република България в услуга на български и чуждестранни граждани</w:t>
            </w:r>
          </w:p>
        </w:tc>
        <w:tc>
          <w:tcPr>
            <w:tcW w:w="3150" w:type="dxa"/>
            <w:vAlign w:val="center"/>
          </w:tcPr>
          <w:p w14:paraId="6EC601CC" w14:textId="77777777" w:rsidR="00B041E8" w:rsidRPr="00823FED" w:rsidRDefault="00B041E8" w:rsidP="00B041E8">
            <w:pPr>
              <w:autoSpaceDE w:val="0"/>
              <w:autoSpaceDN w:val="0"/>
              <w:adjustRightInd w:val="0"/>
              <w:rPr>
                <w:rFonts w:ascii="Cambria" w:hAnsi="Cambria" w:cstheme="minorHAnsi"/>
              </w:rPr>
            </w:pPr>
            <w:r w:rsidRPr="00823FED">
              <w:rPr>
                <w:rFonts w:ascii="Cambria" w:hAnsi="Cambria" w:cstheme="minorHAnsi"/>
              </w:rPr>
              <w:t>Степен на ефективност</w:t>
            </w:r>
          </w:p>
        </w:tc>
        <w:tc>
          <w:tcPr>
            <w:tcW w:w="3240" w:type="dxa"/>
            <w:vAlign w:val="center"/>
          </w:tcPr>
          <w:p w14:paraId="3D3FEC2A" w14:textId="14114D20" w:rsidR="00B041E8" w:rsidRPr="00823FED" w:rsidRDefault="00B826C0" w:rsidP="00B041E8">
            <w:pPr>
              <w:autoSpaceDE w:val="0"/>
              <w:autoSpaceDN w:val="0"/>
              <w:adjustRightInd w:val="0"/>
              <w:rPr>
                <w:rFonts w:ascii="Cambria" w:hAnsi="Cambria" w:cstheme="minorHAnsi"/>
              </w:rPr>
            </w:pPr>
            <w:r w:rsidRPr="00B826C0">
              <w:rPr>
                <w:rFonts w:ascii="Cambria" w:hAnsi="Cambria" w:cstheme="minorHAnsi"/>
              </w:rPr>
              <w:t xml:space="preserve">Преобладаващо висока степен, съгласно </w:t>
            </w:r>
            <w:r>
              <w:rPr>
                <w:rFonts w:ascii="Cambria" w:hAnsi="Cambria" w:cstheme="minorHAnsi"/>
              </w:rPr>
              <w:t xml:space="preserve">стойностите </w:t>
            </w:r>
            <w:r w:rsidR="00B041E8" w:rsidRPr="00823FED">
              <w:rPr>
                <w:rFonts w:ascii="Cambria" w:hAnsi="Cambria" w:cstheme="minorHAnsi"/>
              </w:rPr>
              <w:t>на показателите за изпълнение в програма 1100.03.05</w:t>
            </w:r>
          </w:p>
        </w:tc>
      </w:tr>
      <w:tr w:rsidR="005F5D96" w:rsidRPr="00823FED" w14:paraId="23851F5E" w14:textId="77777777" w:rsidTr="005B7296">
        <w:tc>
          <w:tcPr>
            <w:tcW w:w="2965" w:type="dxa"/>
            <w:vAlign w:val="center"/>
          </w:tcPr>
          <w:p w14:paraId="25DB0327" w14:textId="0E8CC52E" w:rsidR="00B041E8" w:rsidRPr="004144B2" w:rsidRDefault="00B041E8" w:rsidP="00B041E8">
            <w:pPr>
              <w:autoSpaceDE w:val="0"/>
              <w:autoSpaceDN w:val="0"/>
              <w:adjustRightInd w:val="0"/>
              <w:ind w:left="24"/>
              <w:rPr>
                <w:rFonts w:ascii="Cambria" w:hAnsi="Cambria" w:cstheme="minorHAnsi"/>
              </w:rPr>
            </w:pPr>
            <w:r w:rsidRPr="004144B2">
              <w:rPr>
                <w:rFonts w:ascii="Cambria" w:hAnsi="Cambria" w:cstheme="minorHAnsi"/>
              </w:rPr>
              <w:t xml:space="preserve">Защита </w:t>
            </w:r>
            <w:r w:rsidR="004144B2" w:rsidRPr="004144B2">
              <w:rPr>
                <w:rFonts w:ascii="Cambria" w:hAnsi="Cambria" w:cstheme="minorHAnsi"/>
              </w:rPr>
              <w:t xml:space="preserve">на </w:t>
            </w:r>
            <w:r w:rsidR="004144B2" w:rsidRPr="004144B2">
              <w:rPr>
                <w:rFonts w:ascii="Cambria" w:hAnsi="Cambria" w:cstheme="minorHAnsi"/>
                <w:iCs/>
              </w:rPr>
              <w:t>правата и интересите на български физически и юридически лица и българските</w:t>
            </w:r>
            <w:r w:rsidR="004144B2" w:rsidRPr="004144B2">
              <w:rPr>
                <w:rFonts w:ascii="Cambria" w:hAnsi="Cambria" w:cstheme="minorHAnsi"/>
              </w:rPr>
              <w:t xml:space="preserve"> </w:t>
            </w:r>
            <w:r w:rsidR="00B85CD4">
              <w:rPr>
                <w:rFonts w:ascii="Cambria" w:hAnsi="Cambria" w:cstheme="minorHAnsi"/>
              </w:rPr>
              <w:t xml:space="preserve">общности </w:t>
            </w:r>
            <w:r w:rsidRPr="004144B2">
              <w:rPr>
                <w:rFonts w:ascii="Cambria" w:hAnsi="Cambria" w:cstheme="minorHAnsi"/>
              </w:rPr>
              <w:t>зад граница</w:t>
            </w:r>
          </w:p>
        </w:tc>
        <w:tc>
          <w:tcPr>
            <w:tcW w:w="3150" w:type="dxa"/>
            <w:vAlign w:val="center"/>
          </w:tcPr>
          <w:p w14:paraId="5E14A989" w14:textId="3A1A460A" w:rsidR="00B041E8" w:rsidRPr="00823FED" w:rsidRDefault="00B041E8" w:rsidP="00105BC3">
            <w:pPr>
              <w:autoSpaceDE w:val="0"/>
              <w:autoSpaceDN w:val="0"/>
              <w:adjustRightInd w:val="0"/>
              <w:rPr>
                <w:rFonts w:ascii="Cambria" w:hAnsi="Cambria" w:cstheme="minorHAnsi"/>
              </w:rPr>
            </w:pPr>
            <w:r w:rsidRPr="00823FED">
              <w:rPr>
                <w:rFonts w:ascii="Cambria" w:hAnsi="Cambria" w:cstheme="minorHAnsi"/>
              </w:rPr>
              <w:t>Степен на ефективност/ удовлетвореност</w:t>
            </w:r>
          </w:p>
        </w:tc>
        <w:tc>
          <w:tcPr>
            <w:tcW w:w="3240" w:type="dxa"/>
            <w:vAlign w:val="center"/>
          </w:tcPr>
          <w:p w14:paraId="59B8D9B7" w14:textId="3B7D3425" w:rsidR="00B041E8" w:rsidRPr="00823FED" w:rsidRDefault="004144B2" w:rsidP="004144B2">
            <w:pPr>
              <w:autoSpaceDE w:val="0"/>
              <w:autoSpaceDN w:val="0"/>
              <w:adjustRightInd w:val="0"/>
              <w:rPr>
                <w:rFonts w:ascii="Cambria" w:hAnsi="Cambria" w:cstheme="minorHAnsi"/>
              </w:rPr>
            </w:pPr>
            <w:r>
              <w:rPr>
                <w:rFonts w:ascii="Cambria" w:hAnsi="Cambria" w:cstheme="minorHAnsi"/>
              </w:rPr>
              <w:t>Преобладаващо висока степен, съгласно показателите на изпълнение в програма 1100.03.05</w:t>
            </w:r>
          </w:p>
        </w:tc>
      </w:tr>
      <w:tr w:rsidR="005F5D96" w:rsidRPr="00823FED" w14:paraId="572B0891" w14:textId="77777777" w:rsidTr="005B7296">
        <w:tc>
          <w:tcPr>
            <w:tcW w:w="2965" w:type="dxa"/>
            <w:vAlign w:val="center"/>
          </w:tcPr>
          <w:p w14:paraId="4511237A" w14:textId="65FAA868" w:rsidR="00B041E8" w:rsidRPr="00823FED" w:rsidRDefault="00B041E8" w:rsidP="004144B2">
            <w:pPr>
              <w:autoSpaceDE w:val="0"/>
              <w:autoSpaceDN w:val="0"/>
              <w:adjustRightInd w:val="0"/>
              <w:ind w:left="24"/>
              <w:rPr>
                <w:rFonts w:ascii="Cambria" w:hAnsi="Cambria" w:cstheme="minorHAnsi"/>
              </w:rPr>
            </w:pPr>
            <w:r w:rsidRPr="00823FED">
              <w:rPr>
                <w:rFonts w:ascii="Cambria" w:hAnsi="Cambria" w:cstheme="minorHAnsi"/>
              </w:rPr>
              <w:t xml:space="preserve">Защита на </w:t>
            </w:r>
            <w:r w:rsidR="004144B2">
              <w:rPr>
                <w:rFonts w:ascii="Cambria" w:hAnsi="Cambria" w:cstheme="minorHAnsi"/>
              </w:rPr>
              <w:t xml:space="preserve">българските интереси </w:t>
            </w:r>
            <w:r w:rsidRPr="00823FED">
              <w:rPr>
                <w:rFonts w:ascii="Cambria" w:hAnsi="Cambria" w:cstheme="minorHAnsi"/>
              </w:rPr>
              <w:t>пред Съда на ЕС и Общия съд на ЕС</w:t>
            </w:r>
          </w:p>
        </w:tc>
        <w:tc>
          <w:tcPr>
            <w:tcW w:w="3150" w:type="dxa"/>
            <w:vAlign w:val="center"/>
          </w:tcPr>
          <w:p w14:paraId="3D8AE05A" w14:textId="48CB91D2" w:rsidR="00B041E8" w:rsidRPr="00823FED" w:rsidRDefault="00B826C0" w:rsidP="00B041E8">
            <w:pPr>
              <w:autoSpaceDE w:val="0"/>
              <w:autoSpaceDN w:val="0"/>
              <w:adjustRightInd w:val="0"/>
              <w:rPr>
                <w:rFonts w:ascii="Cambria" w:hAnsi="Cambria" w:cstheme="minorHAnsi"/>
              </w:rPr>
            </w:pPr>
            <w:r>
              <w:rPr>
                <w:rFonts w:ascii="Cambria" w:hAnsi="Cambria" w:cstheme="minorHAnsi"/>
              </w:rPr>
              <w:t>Степен на защита</w:t>
            </w:r>
          </w:p>
        </w:tc>
        <w:tc>
          <w:tcPr>
            <w:tcW w:w="3240" w:type="dxa"/>
            <w:vAlign w:val="center"/>
          </w:tcPr>
          <w:p w14:paraId="13CDBF27" w14:textId="1188E80B" w:rsidR="00B041E8" w:rsidRPr="00823FED" w:rsidRDefault="004144B2" w:rsidP="00B041E8">
            <w:pPr>
              <w:rPr>
                <w:rFonts w:ascii="Cambria" w:hAnsi="Cambria" w:cstheme="minorHAnsi"/>
                <w:iCs/>
              </w:rPr>
            </w:pPr>
            <w:r w:rsidRPr="004144B2">
              <w:rPr>
                <w:rFonts w:ascii="Cambria" w:hAnsi="Cambria" w:cstheme="minorHAnsi"/>
                <w:iCs/>
              </w:rPr>
              <w:t>Преобладаващо висока степен, съгласно показателите на изпълнение в програма 1100.03.</w:t>
            </w:r>
            <w:r>
              <w:rPr>
                <w:rFonts w:ascii="Cambria" w:hAnsi="Cambria" w:cstheme="minorHAnsi"/>
                <w:iCs/>
              </w:rPr>
              <w:t>03</w:t>
            </w:r>
          </w:p>
        </w:tc>
      </w:tr>
      <w:tr w:rsidR="005F5D96" w:rsidRPr="00823FED" w14:paraId="24E89C14" w14:textId="77777777" w:rsidTr="005B7296">
        <w:tc>
          <w:tcPr>
            <w:tcW w:w="2965" w:type="dxa"/>
            <w:vAlign w:val="center"/>
          </w:tcPr>
          <w:p w14:paraId="28F494DE" w14:textId="77777777" w:rsidR="00B041E8" w:rsidRPr="00823FED" w:rsidRDefault="00B041E8" w:rsidP="00B041E8">
            <w:pPr>
              <w:autoSpaceDE w:val="0"/>
              <w:autoSpaceDN w:val="0"/>
              <w:adjustRightInd w:val="0"/>
              <w:ind w:left="24"/>
              <w:rPr>
                <w:rFonts w:ascii="Cambria" w:hAnsi="Cambria" w:cstheme="minorHAnsi"/>
              </w:rPr>
            </w:pPr>
            <w:r w:rsidRPr="00823FED">
              <w:rPr>
                <w:rFonts w:ascii="Cambria" w:hAnsi="Cambria" w:cstheme="minorHAnsi"/>
              </w:rPr>
              <w:t>Защита на националните интереси в приоритетни за Република България, ЕС и НАТО области на външната политика чрез съблюдаване на международното право</w:t>
            </w:r>
          </w:p>
        </w:tc>
        <w:tc>
          <w:tcPr>
            <w:tcW w:w="3150" w:type="dxa"/>
            <w:vAlign w:val="center"/>
          </w:tcPr>
          <w:p w14:paraId="49FFDB98" w14:textId="77777777" w:rsidR="00B041E8" w:rsidRPr="00823FED" w:rsidRDefault="00B041E8" w:rsidP="00B041E8">
            <w:pPr>
              <w:autoSpaceDE w:val="0"/>
              <w:autoSpaceDN w:val="0"/>
              <w:adjustRightInd w:val="0"/>
              <w:rPr>
                <w:rFonts w:ascii="Cambria" w:hAnsi="Cambria" w:cstheme="minorHAnsi"/>
              </w:rPr>
            </w:pPr>
            <w:r w:rsidRPr="00823FED">
              <w:rPr>
                <w:rFonts w:ascii="Cambria" w:hAnsi="Cambria" w:cstheme="minorHAnsi"/>
              </w:rPr>
              <w:t>Степен на защита на националните интереси</w:t>
            </w:r>
          </w:p>
        </w:tc>
        <w:tc>
          <w:tcPr>
            <w:tcW w:w="3240" w:type="dxa"/>
            <w:vAlign w:val="center"/>
          </w:tcPr>
          <w:p w14:paraId="779832FA" w14:textId="2EEE275D" w:rsidR="00B041E8" w:rsidRPr="00823FED" w:rsidRDefault="004144B2" w:rsidP="00B041E8">
            <w:pPr>
              <w:rPr>
                <w:rFonts w:ascii="Cambria" w:hAnsi="Cambria" w:cstheme="minorHAnsi"/>
              </w:rPr>
            </w:pPr>
            <w:r w:rsidRPr="004144B2">
              <w:rPr>
                <w:rFonts w:ascii="Cambria" w:hAnsi="Cambria" w:cstheme="minorHAnsi"/>
              </w:rPr>
              <w:t>Преобладаващо висока степен, съгласно показателите на изпълнение в програма 1100.03.</w:t>
            </w:r>
            <w:r>
              <w:rPr>
                <w:rFonts w:ascii="Cambria" w:hAnsi="Cambria" w:cstheme="minorHAnsi"/>
              </w:rPr>
              <w:t>01</w:t>
            </w:r>
          </w:p>
        </w:tc>
      </w:tr>
      <w:tr w:rsidR="005F5D96" w:rsidRPr="00823FED" w14:paraId="5C9DF872" w14:textId="77777777" w:rsidTr="005B7296">
        <w:tc>
          <w:tcPr>
            <w:tcW w:w="2965" w:type="dxa"/>
            <w:vAlign w:val="center"/>
          </w:tcPr>
          <w:p w14:paraId="0AB87D77" w14:textId="77777777" w:rsidR="00B041E8" w:rsidRPr="00823FED" w:rsidRDefault="00B041E8" w:rsidP="00B041E8">
            <w:pPr>
              <w:tabs>
                <w:tab w:val="left" w:pos="240"/>
              </w:tabs>
              <w:autoSpaceDE w:val="0"/>
              <w:autoSpaceDN w:val="0"/>
              <w:adjustRightInd w:val="0"/>
              <w:rPr>
                <w:rFonts w:ascii="Cambria" w:hAnsi="Cambria" w:cstheme="minorHAnsi"/>
              </w:rPr>
            </w:pPr>
            <w:r w:rsidRPr="00823FED">
              <w:rPr>
                <w:rFonts w:ascii="Cambria" w:hAnsi="Cambria" w:cstheme="minorHAnsi"/>
              </w:rPr>
              <w:t>Управление на българската помощ за развитие</w:t>
            </w:r>
          </w:p>
        </w:tc>
        <w:tc>
          <w:tcPr>
            <w:tcW w:w="3150" w:type="dxa"/>
            <w:vAlign w:val="center"/>
          </w:tcPr>
          <w:p w14:paraId="62B1FBAB" w14:textId="77777777" w:rsidR="00B041E8" w:rsidRPr="00823FED" w:rsidRDefault="00B041E8" w:rsidP="00B041E8">
            <w:pPr>
              <w:rPr>
                <w:rFonts w:ascii="Cambria" w:hAnsi="Cambria" w:cstheme="minorHAnsi"/>
              </w:rPr>
            </w:pPr>
            <w:r w:rsidRPr="00823FED">
              <w:rPr>
                <w:rFonts w:ascii="Cambria" w:hAnsi="Cambria" w:cstheme="minorHAnsi"/>
              </w:rPr>
              <w:t xml:space="preserve">Степен на </w:t>
            </w:r>
            <w:proofErr w:type="spellStart"/>
            <w:r w:rsidRPr="00823FED">
              <w:rPr>
                <w:rFonts w:ascii="Cambria" w:hAnsi="Cambria" w:cstheme="minorHAnsi"/>
              </w:rPr>
              <w:t>усвояемост</w:t>
            </w:r>
            <w:proofErr w:type="spellEnd"/>
            <w:r w:rsidRPr="00823FED">
              <w:rPr>
                <w:rFonts w:ascii="Cambria" w:hAnsi="Cambria" w:cstheme="minorHAnsi"/>
              </w:rPr>
              <w:t xml:space="preserve"> и съотносимост към приоритетите на българската външна политика </w:t>
            </w:r>
          </w:p>
        </w:tc>
        <w:tc>
          <w:tcPr>
            <w:tcW w:w="3240" w:type="dxa"/>
            <w:vAlign w:val="center"/>
          </w:tcPr>
          <w:p w14:paraId="6110CD39" w14:textId="14C8ED51" w:rsidR="00B041E8" w:rsidRPr="00823FED" w:rsidRDefault="0053641E" w:rsidP="004144B2">
            <w:pPr>
              <w:rPr>
                <w:rFonts w:ascii="Cambria" w:hAnsi="Cambria" w:cstheme="minorHAnsi"/>
                <w:iCs/>
              </w:rPr>
            </w:pPr>
            <w:r w:rsidRPr="00823FED">
              <w:rPr>
                <w:rFonts w:ascii="Cambria" w:hAnsi="Cambria" w:cstheme="minorHAnsi"/>
                <w:iCs/>
              </w:rPr>
              <w:t>38.5%</w:t>
            </w:r>
            <w:r w:rsidR="004144B2">
              <w:rPr>
                <w:rFonts w:ascii="Cambria" w:hAnsi="Cambria" w:cstheme="minorHAnsi"/>
                <w:iCs/>
              </w:rPr>
              <w:t xml:space="preserve"> </w:t>
            </w:r>
            <w:r w:rsidR="004144B2" w:rsidRPr="004144B2">
              <w:rPr>
                <w:rFonts w:ascii="Cambria" w:hAnsi="Cambria" w:cstheme="minorHAnsi"/>
                <w:iCs/>
              </w:rPr>
              <w:t>съгласно показателите на изпълнение в програма 1100.03.</w:t>
            </w:r>
            <w:r w:rsidR="004144B2">
              <w:rPr>
                <w:rFonts w:ascii="Cambria" w:hAnsi="Cambria" w:cstheme="minorHAnsi"/>
                <w:iCs/>
              </w:rPr>
              <w:t>07</w:t>
            </w:r>
          </w:p>
        </w:tc>
      </w:tr>
      <w:tr w:rsidR="005F5D96" w:rsidRPr="00823FED" w14:paraId="24678777" w14:textId="77777777" w:rsidTr="005B7296">
        <w:tc>
          <w:tcPr>
            <w:tcW w:w="2965" w:type="dxa"/>
            <w:vAlign w:val="center"/>
          </w:tcPr>
          <w:p w14:paraId="3351071B" w14:textId="77777777" w:rsidR="00B041E8" w:rsidRPr="00823FED" w:rsidRDefault="00B041E8" w:rsidP="00B041E8">
            <w:pPr>
              <w:rPr>
                <w:rFonts w:ascii="Cambria" w:hAnsi="Cambria" w:cstheme="minorHAnsi"/>
              </w:rPr>
            </w:pPr>
            <w:r w:rsidRPr="00823FED">
              <w:rPr>
                <w:rFonts w:ascii="Cambria" w:hAnsi="Cambria" w:cstheme="minorHAnsi"/>
              </w:rPr>
              <w:lastRenderedPageBreak/>
              <w:t xml:space="preserve">Изпълнение на националните цели и приоритети, чрез участието на България във формирането на политики на ЕС и НАТО </w:t>
            </w:r>
          </w:p>
        </w:tc>
        <w:tc>
          <w:tcPr>
            <w:tcW w:w="3150" w:type="dxa"/>
            <w:vAlign w:val="center"/>
          </w:tcPr>
          <w:p w14:paraId="468A5A8B" w14:textId="77777777" w:rsidR="00B041E8" w:rsidRPr="00823FED" w:rsidRDefault="00B041E8" w:rsidP="00B041E8">
            <w:pPr>
              <w:rPr>
                <w:rFonts w:ascii="Cambria" w:hAnsi="Cambria" w:cstheme="minorHAnsi"/>
              </w:rPr>
            </w:pPr>
            <w:r w:rsidRPr="00823FED">
              <w:rPr>
                <w:rFonts w:ascii="Cambria" w:hAnsi="Cambria" w:cstheme="minorHAnsi"/>
              </w:rPr>
              <w:t>Подготовка и степен на реализация на български позиции и инициативи</w:t>
            </w:r>
          </w:p>
        </w:tc>
        <w:tc>
          <w:tcPr>
            <w:tcW w:w="3240" w:type="dxa"/>
            <w:vAlign w:val="center"/>
          </w:tcPr>
          <w:p w14:paraId="44C06821" w14:textId="3D97FA9E" w:rsidR="00B041E8" w:rsidRPr="00823FED" w:rsidRDefault="00B826C0" w:rsidP="00B041E8">
            <w:pPr>
              <w:rPr>
                <w:rFonts w:ascii="Cambria" w:hAnsi="Cambria" w:cstheme="minorHAnsi"/>
              </w:rPr>
            </w:pPr>
            <w:r w:rsidRPr="00B826C0">
              <w:rPr>
                <w:rFonts w:ascii="Cambria" w:hAnsi="Cambria" w:cstheme="minorHAnsi"/>
              </w:rPr>
              <w:t>Преобладаващо висока степен, съгласно</w:t>
            </w:r>
            <w:r w:rsidR="00B041E8" w:rsidRPr="00823FED">
              <w:rPr>
                <w:rFonts w:ascii="Cambria" w:hAnsi="Cambria" w:cstheme="minorHAnsi"/>
              </w:rPr>
              <w:t xml:space="preserve"> стойности</w:t>
            </w:r>
            <w:r>
              <w:rPr>
                <w:rFonts w:ascii="Cambria" w:hAnsi="Cambria" w:cstheme="minorHAnsi"/>
              </w:rPr>
              <w:t>те</w:t>
            </w:r>
            <w:r w:rsidR="00B041E8" w:rsidRPr="00823FED">
              <w:rPr>
                <w:rFonts w:ascii="Cambria" w:hAnsi="Cambria" w:cstheme="minorHAnsi"/>
              </w:rPr>
              <w:t xml:space="preserve"> на показателите за изпълнение в Програма 1100.03.01</w:t>
            </w:r>
            <w:r w:rsidR="00B041E8" w:rsidRPr="00823FED">
              <w:rPr>
                <w:rFonts w:ascii="Cambria" w:hAnsi="Cambria" w:cstheme="minorHAnsi"/>
                <w:lang w:val="en-US"/>
              </w:rPr>
              <w:t xml:space="preserve"> и</w:t>
            </w:r>
            <w:r w:rsidR="00B041E8" w:rsidRPr="00823FED">
              <w:rPr>
                <w:rFonts w:ascii="Cambria" w:hAnsi="Cambria" w:cstheme="minorHAnsi"/>
              </w:rPr>
              <w:t xml:space="preserve"> 1100.03.04 </w:t>
            </w:r>
          </w:p>
        </w:tc>
      </w:tr>
      <w:tr w:rsidR="005F5D96" w:rsidRPr="00823FED" w14:paraId="04337AE5" w14:textId="77777777" w:rsidTr="005B7296">
        <w:tc>
          <w:tcPr>
            <w:tcW w:w="2965" w:type="dxa"/>
            <w:vAlign w:val="center"/>
          </w:tcPr>
          <w:p w14:paraId="32C4B307" w14:textId="77777777" w:rsidR="00B041E8" w:rsidRPr="00823FED" w:rsidRDefault="00B041E8" w:rsidP="00B041E8">
            <w:pPr>
              <w:rPr>
                <w:rFonts w:ascii="Cambria" w:hAnsi="Cambria" w:cstheme="minorHAnsi"/>
              </w:rPr>
            </w:pPr>
            <w:r w:rsidRPr="00823FED">
              <w:rPr>
                <w:rFonts w:ascii="Cambria" w:hAnsi="Cambria" w:cstheme="minorHAnsi"/>
              </w:rPr>
              <w:t>Ефективно изпълнение на националните цели и приоритети на Република България в Европейския съюз посредством координирана и последователна политика</w:t>
            </w:r>
          </w:p>
        </w:tc>
        <w:tc>
          <w:tcPr>
            <w:tcW w:w="3150" w:type="dxa"/>
            <w:vAlign w:val="center"/>
          </w:tcPr>
          <w:p w14:paraId="3F14E25E" w14:textId="77777777" w:rsidR="00B041E8" w:rsidRPr="00823FED" w:rsidRDefault="00B041E8" w:rsidP="00B041E8">
            <w:pPr>
              <w:rPr>
                <w:rFonts w:ascii="Cambria" w:hAnsi="Cambria" w:cstheme="minorHAnsi"/>
              </w:rPr>
            </w:pPr>
            <w:r w:rsidRPr="00823FED">
              <w:rPr>
                <w:rFonts w:ascii="Cambria" w:hAnsi="Cambria" w:cstheme="minorHAnsi"/>
              </w:rPr>
              <w:t>Степен на ефективност</w:t>
            </w:r>
          </w:p>
        </w:tc>
        <w:tc>
          <w:tcPr>
            <w:tcW w:w="3240" w:type="dxa"/>
            <w:vAlign w:val="center"/>
          </w:tcPr>
          <w:p w14:paraId="1F3D0D49" w14:textId="32D5938A" w:rsidR="00B041E8" w:rsidRPr="00823FED" w:rsidRDefault="004144B2" w:rsidP="00B041E8">
            <w:pPr>
              <w:rPr>
                <w:rFonts w:ascii="Cambria" w:hAnsi="Cambria" w:cstheme="minorHAnsi"/>
              </w:rPr>
            </w:pPr>
            <w:r w:rsidRPr="004144B2">
              <w:rPr>
                <w:rFonts w:ascii="Cambria" w:hAnsi="Cambria" w:cstheme="minorHAnsi"/>
              </w:rPr>
              <w:t>Преобладаващо висока степен, съгласно показателите на изпълнение в програма 1100.03.</w:t>
            </w:r>
            <w:r>
              <w:rPr>
                <w:rFonts w:ascii="Cambria" w:hAnsi="Cambria" w:cstheme="minorHAnsi"/>
              </w:rPr>
              <w:t>04</w:t>
            </w:r>
          </w:p>
        </w:tc>
      </w:tr>
      <w:tr w:rsidR="005F5D96" w:rsidRPr="00823FED" w14:paraId="14BD801D" w14:textId="77777777" w:rsidTr="005B7296">
        <w:tc>
          <w:tcPr>
            <w:tcW w:w="2965" w:type="dxa"/>
            <w:vAlign w:val="center"/>
          </w:tcPr>
          <w:p w14:paraId="45FE60B5" w14:textId="77777777" w:rsidR="00B041E8" w:rsidRPr="00823FED" w:rsidRDefault="00B041E8" w:rsidP="00B041E8">
            <w:pPr>
              <w:rPr>
                <w:rFonts w:ascii="Cambria" w:hAnsi="Cambria" w:cstheme="minorHAnsi"/>
              </w:rPr>
            </w:pPr>
            <w:r w:rsidRPr="00823FED">
              <w:rPr>
                <w:rFonts w:ascii="Cambria" w:hAnsi="Cambria" w:cstheme="minorHAnsi"/>
              </w:rPr>
              <w:t>Участие в Съвета на ЕС и неговите подготвителни органи</w:t>
            </w:r>
          </w:p>
        </w:tc>
        <w:tc>
          <w:tcPr>
            <w:tcW w:w="3150" w:type="dxa"/>
            <w:vAlign w:val="center"/>
          </w:tcPr>
          <w:p w14:paraId="4AD0DE77" w14:textId="77777777" w:rsidR="00B041E8" w:rsidRPr="00823FED" w:rsidRDefault="00B041E8" w:rsidP="00B041E8">
            <w:pPr>
              <w:rPr>
                <w:rFonts w:ascii="Cambria" w:hAnsi="Cambria" w:cstheme="minorHAnsi"/>
              </w:rPr>
            </w:pPr>
            <w:r w:rsidRPr="00823FED">
              <w:rPr>
                <w:rFonts w:ascii="Cambria" w:hAnsi="Cambria" w:cstheme="minorHAnsi"/>
              </w:rPr>
              <w:t>Степен на защита на българските интереси</w:t>
            </w:r>
          </w:p>
        </w:tc>
        <w:tc>
          <w:tcPr>
            <w:tcW w:w="3240" w:type="dxa"/>
            <w:vAlign w:val="center"/>
          </w:tcPr>
          <w:p w14:paraId="49F3457C" w14:textId="2D58DA69" w:rsidR="00B041E8" w:rsidRPr="00823FED" w:rsidRDefault="004144B2" w:rsidP="004144B2">
            <w:pPr>
              <w:rPr>
                <w:rFonts w:ascii="Cambria" w:hAnsi="Cambria" w:cstheme="minorHAnsi"/>
              </w:rPr>
            </w:pPr>
            <w:r w:rsidRPr="004144B2">
              <w:rPr>
                <w:rFonts w:ascii="Cambria" w:hAnsi="Cambria" w:cstheme="minorHAnsi"/>
              </w:rPr>
              <w:t>Преобладаващо висока степен, съгласно показателите на изпълнение в програма 1100.03.</w:t>
            </w:r>
            <w:r>
              <w:rPr>
                <w:rFonts w:ascii="Cambria" w:hAnsi="Cambria" w:cstheme="minorHAnsi"/>
              </w:rPr>
              <w:t>01 и 1100.03.04</w:t>
            </w:r>
          </w:p>
        </w:tc>
      </w:tr>
      <w:tr w:rsidR="005F5D96" w:rsidRPr="00823FED" w14:paraId="17409222" w14:textId="77777777" w:rsidTr="005B7296">
        <w:tc>
          <w:tcPr>
            <w:tcW w:w="2965" w:type="dxa"/>
            <w:vAlign w:val="center"/>
          </w:tcPr>
          <w:p w14:paraId="44E898C0" w14:textId="77777777" w:rsidR="00B041E8" w:rsidRPr="00823FED" w:rsidRDefault="00B041E8" w:rsidP="00B041E8">
            <w:pPr>
              <w:rPr>
                <w:rFonts w:ascii="Cambria" w:hAnsi="Cambria" w:cstheme="minorHAnsi"/>
              </w:rPr>
            </w:pPr>
            <w:r w:rsidRPr="00823FED">
              <w:rPr>
                <w:rFonts w:ascii="Cambria" w:hAnsi="Cambria" w:cstheme="minorHAnsi"/>
              </w:rPr>
              <w:t xml:space="preserve">Изпълнение на националните цели и приоритети, чрез участието на България във формирането на политики на ООН </w:t>
            </w:r>
          </w:p>
        </w:tc>
        <w:tc>
          <w:tcPr>
            <w:tcW w:w="3150" w:type="dxa"/>
            <w:vAlign w:val="center"/>
          </w:tcPr>
          <w:p w14:paraId="2A38CAC7" w14:textId="77777777" w:rsidR="00B041E8" w:rsidRPr="00823FED" w:rsidRDefault="00B041E8" w:rsidP="00B041E8">
            <w:pPr>
              <w:rPr>
                <w:rFonts w:ascii="Cambria" w:hAnsi="Cambria" w:cstheme="minorHAnsi"/>
              </w:rPr>
            </w:pPr>
            <w:r w:rsidRPr="00823FED">
              <w:rPr>
                <w:rFonts w:ascii="Cambria" w:hAnsi="Cambria" w:cstheme="minorHAnsi"/>
              </w:rPr>
              <w:t>Подготовка и степен на реализация на български позиции и инициативи</w:t>
            </w:r>
          </w:p>
        </w:tc>
        <w:tc>
          <w:tcPr>
            <w:tcW w:w="3240" w:type="dxa"/>
            <w:vAlign w:val="center"/>
          </w:tcPr>
          <w:p w14:paraId="5FC803A4" w14:textId="2481C022" w:rsidR="00B041E8" w:rsidRPr="00823FED" w:rsidRDefault="00B826C0" w:rsidP="00B041E8">
            <w:pPr>
              <w:rPr>
                <w:rFonts w:ascii="Cambria" w:hAnsi="Cambria" w:cstheme="minorHAnsi"/>
              </w:rPr>
            </w:pPr>
            <w:r w:rsidRPr="00B826C0">
              <w:rPr>
                <w:rFonts w:ascii="Cambria" w:hAnsi="Cambria" w:cstheme="minorHAnsi"/>
              </w:rPr>
              <w:t xml:space="preserve">Преобладаващо висока степен, съгласно </w:t>
            </w:r>
            <w:r w:rsidR="00B041E8" w:rsidRPr="00823FED">
              <w:rPr>
                <w:rFonts w:ascii="Cambria" w:hAnsi="Cambria" w:cstheme="minorHAnsi"/>
              </w:rPr>
              <w:t>стойности</w:t>
            </w:r>
            <w:r>
              <w:rPr>
                <w:rFonts w:ascii="Cambria" w:hAnsi="Cambria" w:cstheme="minorHAnsi"/>
              </w:rPr>
              <w:t>те</w:t>
            </w:r>
            <w:r w:rsidR="00B041E8" w:rsidRPr="00823FED">
              <w:rPr>
                <w:rFonts w:ascii="Cambria" w:hAnsi="Cambria" w:cstheme="minorHAnsi"/>
              </w:rPr>
              <w:t xml:space="preserve"> на показателите за изпълнение в Програма 1100.03.03</w:t>
            </w:r>
          </w:p>
        </w:tc>
      </w:tr>
      <w:tr w:rsidR="005F5D96" w:rsidRPr="00823FED" w14:paraId="19216BA8" w14:textId="77777777" w:rsidTr="005B7296">
        <w:tc>
          <w:tcPr>
            <w:tcW w:w="2965" w:type="dxa"/>
            <w:vAlign w:val="center"/>
          </w:tcPr>
          <w:p w14:paraId="2332D6E1" w14:textId="77777777" w:rsidR="00B041E8" w:rsidRPr="00823FED" w:rsidRDefault="00B041E8" w:rsidP="00B041E8">
            <w:pPr>
              <w:ind w:left="23"/>
              <w:rPr>
                <w:rFonts w:ascii="Cambria" w:hAnsi="Cambria" w:cstheme="minorHAnsi"/>
              </w:rPr>
            </w:pPr>
            <w:r w:rsidRPr="00823FED">
              <w:rPr>
                <w:rFonts w:ascii="Cambria" w:hAnsi="Cambria" w:cstheme="minorHAnsi"/>
              </w:rPr>
              <w:t>Активни и прагматични двустранни отношения</w:t>
            </w:r>
          </w:p>
        </w:tc>
        <w:tc>
          <w:tcPr>
            <w:tcW w:w="3150" w:type="dxa"/>
            <w:vAlign w:val="center"/>
          </w:tcPr>
          <w:p w14:paraId="706A35E0" w14:textId="77777777" w:rsidR="00B041E8" w:rsidRPr="00823FED" w:rsidRDefault="00B041E8" w:rsidP="00B041E8">
            <w:pPr>
              <w:rPr>
                <w:rFonts w:ascii="Cambria" w:hAnsi="Cambria" w:cstheme="minorHAnsi"/>
              </w:rPr>
            </w:pPr>
            <w:r w:rsidRPr="00823FED">
              <w:rPr>
                <w:rFonts w:ascii="Cambria" w:hAnsi="Cambria" w:cstheme="minorHAnsi"/>
              </w:rPr>
              <w:t>Равнище и интензитет на политическия диалог, подписани двустранни споразумения и степен на тяхната реализация, подготвени, разменени двустранни посещения и др.</w:t>
            </w:r>
          </w:p>
        </w:tc>
        <w:tc>
          <w:tcPr>
            <w:tcW w:w="3240" w:type="dxa"/>
            <w:vAlign w:val="center"/>
          </w:tcPr>
          <w:p w14:paraId="35A1BECC" w14:textId="60D34044" w:rsidR="00B041E8" w:rsidRPr="00823FED" w:rsidRDefault="00B826C0" w:rsidP="00B041E8">
            <w:pPr>
              <w:rPr>
                <w:rFonts w:ascii="Cambria" w:hAnsi="Cambria" w:cstheme="minorHAnsi"/>
              </w:rPr>
            </w:pPr>
            <w:r w:rsidRPr="00B826C0">
              <w:rPr>
                <w:rFonts w:ascii="Cambria" w:hAnsi="Cambria" w:cstheme="minorHAnsi"/>
              </w:rPr>
              <w:t xml:space="preserve">Преобладаващо висока степен, съгласно </w:t>
            </w:r>
            <w:r w:rsidR="00B041E8" w:rsidRPr="00823FED">
              <w:rPr>
                <w:rFonts w:ascii="Cambria" w:hAnsi="Cambria" w:cstheme="minorHAnsi"/>
              </w:rPr>
              <w:t>стойности</w:t>
            </w:r>
            <w:r>
              <w:rPr>
                <w:rFonts w:ascii="Cambria" w:hAnsi="Cambria" w:cstheme="minorHAnsi"/>
              </w:rPr>
              <w:t>те</w:t>
            </w:r>
            <w:r w:rsidR="00B041E8" w:rsidRPr="00823FED">
              <w:rPr>
                <w:rFonts w:ascii="Cambria" w:hAnsi="Cambria" w:cstheme="minorHAnsi"/>
              </w:rPr>
              <w:t xml:space="preserve"> на показателите за изпълнение в програми 1100.03.02 и 1100.03.04</w:t>
            </w:r>
          </w:p>
        </w:tc>
      </w:tr>
      <w:tr w:rsidR="00105BC3" w:rsidRPr="00823FED" w14:paraId="43C1AD3B" w14:textId="77777777" w:rsidTr="005B7296">
        <w:tc>
          <w:tcPr>
            <w:tcW w:w="2965" w:type="dxa"/>
            <w:vAlign w:val="center"/>
          </w:tcPr>
          <w:p w14:paraId="4008BAFF" w14:textId="1F112A72" w:rsidR="00105BC3" w:rsidRPr="00823FED" w:rsidRDefault="00105BC3" w:rsidP="00105BC3">
            <w:pPr>
              <w:ind w:left="23"/>
              <w:rPr>
                <w:rFonts w:ascii="Cambria" w:hAnsi="Cambria" w:cstheme="minorHAnsi"/>
              </w:rPr>
            </w:pPr>
            <w:r w:rsidRPr="00105BC3">
              <w:rPr>
                <w:rFonts w:ascii="Cambria" w:hAnsi="Cambria" w:cstheme="minorHAnsi"/>
              </w:rPr>
              <w:t>Дейност на България в глобални и регионални международни организации и други многостранни формати</w:t>
            </w:r>
            <w:r w:rsidRPr="00105BC3">
              <w:rPr>
                <w:rFonts w:ascii="Cambria" w:hAnsi="Cambria" w:cstheme="minorHAnsi"/>
              </w:rPr>
              <w:tab/>
            </w:r>
          </w:p>
        </w:tc>
        <w:tc>
          <w:tcPr>
            <w:tcW w:w="3150" w:type="dxa"/>
            <w:vAlign w:val="center"/>
          </w:tcPr>
          <w:p w14:paraId="29FA9045" w14:textId="4763C24C" w:rsidR="00105BC3" w:rsidRPr="00823FED" w:rsidRDefault="00105BC3" w:rsidP="00B041E8">
            <w:pPr>
              <w:rPr>
                <w:rFonts w:ascii="Cambria" w:hAnsi="Cambria" w:cstheme="minorHAnsi"/>
              </w:rPr>
            </w:pPr>
            <w:r w:rsidRPr="00105BC3">
              <w:rPr>
                <w:rFonts w:ascii="Cambria" w:hAnsi="Cambria" w:cstheme="minorHAnsi"/>
              </w:rPr>
              <w:t>Постигнат успех за български инициативи и кандидатури</w:t>
            </w:r>
            <w:r w:rsidRPr="00105BC3">
              <w:rPr>
                <w:rFonts w:ascii="Cambria" w:hAnsi="Cambria" w:cstheme="minorHAnsi"/>
              </w:rPr>
              <w:tab/>
            </w:r>
          </w:p>
        </w:tc>
        <w:tc>
          <w:tcPr>
            <w:tcW w:w="3240" w:type="dxa"/>
            <w:vAlign w:val="center"/>
          </w:tcPr>
          <w:p w14:paraId="771DD5DB" w14:textId="561BE1F0" w:rsidR="00105BC3" w:rsidRDefault="004144B2" w:rsidP="00B041E8">
            <w:pPr>
              <w:rPr>
                <w:rFonts w:ascii="Cambria" w:hAnsi="Cambria" w:cstheme="minorHAnsi"/>
              </w:rPr>
            </w:pPr>
            <w:r>
              <w:rPr>
                <w:rFonts w:ascii="Cambria" w:hAnsi="Cambria" w:cstheme="minorHAnsi"/>
              </w:rPr>
              <w:br/>
            </w:r>
            <w:r w:rsidR="00C61295">
              <w:rPr>
                <w:rFonts w:ascii="Cambria" w:hAnsi="Cambria" w:cstheme="minorHAnsi"/>
              </w:rPr>
              <w:t>С</w:t>
            </w:r>
            <w:r w:rsidR="00C61295" w:rsidRPr="004144B2">
              <w:rPr>
                <w:rFonts w:ascii="Cambria" w:hAnsi="Cambria" w:cstheme="minorHAnsi"/>
              </w:rPr>
              <w:t>ъгласно</w:t>
            </w:r>
            <w:r w:rsidRPr="004144B2">
              <w:rPr>
                <w:rFonts w:ascii="Cambria" w:hAnsi="Cambria" w:cstheme="minorHAnsi"/>
              </w:rPr>
              <w:t xml:space="preserve"> показателите на изпълнение в програма 1100.03.</w:t>
            </w:r>
            <w:r>
              <w:rPr>
                <w:rFonts w:ascii="Cambria" w:hAnsi="Cambria" w:cstheme="minorHAnsi"/>
              </w:rPr>
              <w:t>03</w:t>
            </w:r>
          </w:p>
          <w:p w14:paraId="0C7D736C" w14:textId="4A8BFAB5" w:rsidR="009E45A5" w:rsidRPr="00823FED" w:rsidRDefault="009E45A5" w:rsidP="00B041E8">
            <w:pPr>
              <w:rPr>
                <w:rFonts w:ascii="Cambria" w:hAnsi="Cambria" w:cstheme="minorHAnsi"/>
              </w:rPr>
            </w:pPr>
          </w:p>
        </w:tc>
      </w:tr>
    </w:tbl>
    <w:p w14:paraId="322BD3D0" w14:textId="77777777" w:rsidR="002C0885" w:rsidRPr="00823FED" w:rsidRDefault="002C0885" w:rsidP="00716035">
      <w:pPr>
        <w:spacing w:after="0" w:line="240" w:lineRule="auto"/>
        <w:jc w:val="both"/>
        <w:rPr>
          <w:rFonts w:ascii="Cambria" w:hAnsi="Cambria" w:cstheme="minorHAnsi"/>
          <w:i/>
          <w:color w:val="000000"/>
        </w:rPr>
      </w:pPr>
    </w:p>
    <w:p w14:paraId="186C2805" w14:textId="77777777" w:rsidR="002D1419" w:rsidRPr="00823FED" w:rsidRDefault="002D1419" w:rsidP="002D1419">
      <w:pPr>
        <w:spacing w:after="0" w:line="240" w:lineRule="auto"/>
        <w:jc w:val="both"/>
        <w:rPr>
          <w:rFonts w:ascii="Cambria" w:hAnsi="Cambria" w:cstheme="minorHAnsi"/>
          <w:b/>
          <w:bCs/>
          <w:color w:val="548DD4" w:themeColor="text2" w:themeTint="99"/>
        </w:rPr>
      </w:pPr>
      <w:r w:rsidRPr="00823FED">
        <w:rPr>
          <w:rFonts w:ascii="Cambria" w:hAnsi="Cambria" w:cstheme="minorHAnsi"/>
          <w:b/>
          <w:bCs/>
          <w:color w:val="548DD4" w:themeColor="text2" w:themeTint="99"/>
        </w:rPr>
        <w:t>По отношение на набелязаните ключови индикатори следва да се отчете:</w:t>
      </w:r>
    </w:p>
    <w:p w14:paraId="4502B3DC" w14:textId="77777777" w:rsidR="002D1419" w:rsidRDefault="002D1419" w:rsidP="00716035">
      <w:pPr>
        <w:spacing w:after="0" w:line="240" w:lineRule="auto"/>
        <w:jc w:val="both"/>
        <w:rPr>
          <w:rFonts w:ascii="Cambria" w:hAnsi="Cambria" w:cstheme="minorHAnsi"/>
          <w:b/>
          <w:iCs/>
          <w:color w:val="548DD4" w:themeColor="text2" w:themeTint="99"/>
        </w:rPr>
      </w:pPr>
    </w:p>
    <w:p w14:paraId="5669ACDA" w14:textId="667A569C" w:rsidR="00D905CC"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Ефективност на консулските служби на Република България в услуга на български и чуждестранни граждани</w:t>
      </w:r>
    </w:p>
    <w:p w14:paraId="7E599B33" w14:textId="77777777" w:rsidR="00131211" w:rsidRPr="00823FED" w:rsidRDefault="00131211" w:rsidP="00716035">
      <w:pPr>
        <w:spacing w:after="0" w:line="240" w:lineRule="auto"/>
        <w:jc w:val="both"/>
        <w:rPr>
          <w:rFonts w:ascii="Cambria" w:hAnsi="Cambria" w:cstheme="minorHAnsi"/>
          <w:b/>
          <w:iCs/>
          <w:color w:val="548DD4" w:themeColor="text2" w:themeTint="99"/>
        </w:rPr>
      </w:pPr>
    </w:p>
    <w:p w14:paraId="2F18FC51" w14:textId="1507BB0C" w:rsidR="00D346BA" w:rsidRPr="00823FED" w:rsidRDefault="00D346BA" w:rsidP="00D346BA">
      <w:pPr>
        <w:tabs>
          <w:tab w:val="left" w:pos="540"/>
        </w:tabs>
        <w:autoSpaceDE w:val="0"/>
        <w:autoSpaceDN w:val="0"/>
        <w:adjustRightInd w:val="0"/>
        <w:spacing w:after="0" w:line="240" w:lineRule="auto"/>
        <w:ind w:firstLine="270"/>
        <w:jc w:val="both"/>
        <w:rPr>
          <w:rFonts w:ascii="Cambria" w:hAnsi="Cambria" w:cstheme="minorHAnsi"/>
          <w:bCs/>
          <w:iCs/>
        </w:rPr>
      </w:pPr>
      <w:r w:rsidRPr="00823FED">
        <w:rPr>
          <w:rFonts w:ascii="Cambria" w:eastAsia="Times New Roman" w:hAnsi="Cambria" w:cstheme="minorHAnsi"/>
          <w:bCs/>
          <w:iCs/>
          <w:lang w:eastAsia="ar-SA"/>
        </w:rPr>
        <w:t xml:space="preserve">През 2021 г. продължиха усилията за постигане на основните цели на тази програма - да се изгради необходимата инфраструктура и материална среда, да продължи повишаването на квалификацията и обучението на консулски служители и да се изготвят съответните нормативни и административни </w:t>
      </w:r>
      <w:r w:rsidRPr="00823FED">
        <w:rPr>
          <w:rFonts w:ascii="Cambria" w:hAnsi="Cambria" w:cstheme="minorHAnsi"/>
          <w:bCs/>
          <w:iCs/>
        </w:rPr>
        <w:t>документи, които да съответстват на изискванията за присъединяване към Шенгенското пространство, което да позволи, след постигане на членство</w:t>
      </w:r>
      <w:r w:rsidR="002D1419">
        <w:rPr>
          <w:rFonts w:ascii="Cambria" w:hAnsi="Cambria" w:cstheme="minorHAnsi"/>
          <w:bCs/>
          <w:iCs/>
        </w:rPr>
        <w:t>,</w:t>
      </w:r>
      <w:r w:rsidRPr="00823FED">
        <w:rPr>
          <w:rFonts w:ascii="Cambria" w:hAnsi="Cambria" w:cstheme="minorHAnsi"/>
          <w:bCs/>
          <w:iCs/>
        </w:rPr>
        <w:t xml:space="preserve"> да се осигурят условия за ефективно прилагане на правото и практиката на </w:t>
      </w:r>
      <w:proofErr w:type="spellStart"/>
      <w:r w:rsidRPr="00823FED">
        <w:rPr>
          <w:rFonts w:ascii="Cambria" w:hAnsi="Cambria" w:cstheme="minorHAnsi"/>
          <w:bCs/>
          <w:iCs/>
        </w:rPr>
        <w:t>Шенген</w:t>
      </w:r>
      <w:proofErr w:type="spellEnd"/>
      <w:r w:rsidR="00B707A0" w:rsidRPr="00823FED">
        <w:rPr>
          <w:rFonts w:ascii="Cambria" w:hAnsi="Cambria" w:cstheme="minorHAnsi"/>
          <w:bCs/>
          <w:iCs/>
        </w:rPr>
        <w:t>.</w:t>
      </w:r>
      <w:r w:rsidRPr="00823FED">
        <w:rPr>
          <w:rFonts w:ascii="Cambria" w:hAnsi="Cambria" w:cstheme="minorHAnsi"/>
          <w:bCs/>
          <w:iCs/>
        </w:rPr>
        <w:t xml:space="preserve"> Подготвени бяха изменения в Закона за чужденците в Република България и в Закона за българските лични документи. </w:t>
      </w:r>
      <w:r w:rsidR="002D1419">
        <w:rPr>
          <w:rFonts w:ascii="Cambria" w:hAnsi="Cambria" w:cstheme="minorHAnsi"/>
          <w:bCs/>
          <w:iCs/>
        </w:rPr>
        <w:t xml:space="preserve"> </w:t>
      </w:r>
    </w:p>
    <w:p w14:paraId="6C947016" w14:textId="77777777" w:rsidR="00D346BA" w:rsidRPr="00823FED" w:rsidRDefault="00D346BA" w:rsidP="00D346BA">
      <w:pPr>
        <w:tabs>
          <w:tab w:val="left" w:pos="540"/>
        </w:tabs>
        <w:autoSpaceDE w:val="0"/>
        <w:autoSpaceDN w:val="0"/>
        <w:adjustRightInd w:val="0"/>
        <w:spacing w:after="0" w:line="240" w:lineRule="auto"/>
        <w:ind w:firstLine="270"/>
        <w:jc w:val="both"/>
        <w:rPr>
          <w:rFonts w:ascii="Cambria" w:hAnsi="Cambria" w:cstheme="minorHAnsi"/>
          <w:bCs/>
          <w:iCs/>
        </w:rPr>
      </w:pPr>
      <w:r w:rsidRPr="00823FED">
        <w:rPr>
          <w:rFonts w:ascii="Cambria" w:hAnsi="Cambria" w:cstheme="minorHAnsi"/>
          <w:bCs/>
          <w:iCs/>
        </w:rPr>
        <w:t xml:space="preserve">От 17.02.2021 г. стана достъпна </w:t>
      </w:r>
      <w:r w:rsidRPr="00823FED">
        <w:rPr>
          <w:rFonts w:ascii="Cambria" w:eastAsia="Times New Roman" w:hAnsi="Cambria" w:cstheme="minorHAnsi"/>
          <w:lang w:eastAsia="bg-BG"/>
        </w:rPr>
        <w:t>автоматизираната информационна система за   електронни услуги</w:t>
      </w:r>
      <w:r w:rsidRPr="00823FED">
        <w:rPr>
          <w:rFonts w:ascii="Cambria" w:hAnsi="Cambria" w:cstheme="minorHAnsi"/>
          <w:bCs/>
          <w:iCs/>
        </w:rPr>
        <w:t xml:space="preserve"> на МВнР, която дава възможност на българските граждани в чужбина да подновяват своите български лични документи по електронен път без необходимостта да разполагат с квалифициран електронен подпис, както и възможността да заплатят за услугата изцяло по електронен път</w:t>
      </w:r>
      <w:r w:rsidR="00067F99" w:rsidRPr="00823FED">
        <w:rPr>
          <w:rFonts w:ascii="Cambria" w:hAnsi="Cambria" w:cstheme="minorHAnsi"/>
          <w:bCs/>
          <w:iCs/>
        </w:rPr>
        <w:t>.</w:t>
      </w:r>
    </w:p>
    <w:p w14:paraId="411C8C27" w14:textId="6ED5DD91" w:rsidR="007D68D0" w:rsidRPr="00823FED" w:rsidRDefault="007D68D0" w:rsidP="004E7C5E">
      <w:pPr>
        <w:tabs>
          <w:tab w:val="left" w:pos="540"/>
        </w:tabs>
        <w:autoSpaceDE w:val="0"/>
        <w:autoSpaceDN w:val="0"/>
        <w:adjustRightInd w:val="0"/>
        <w:spacing w:after="0" w:line="240" w:lineRule="auto"/>
        <w:jc w:val="both"/>
        <w:rPr>
          <w:rFonts w:ascii="Cambria" w:hAnsi="Cambria" w:cstheme="minorHAnsi"/>
        </w:rPr>
      </w:pPr>
    </w:p>
    <w:p w14:paraId="7F398589" w14:textId="12691B75" w:rsidR="00D905CC" w:rsidRPr="00823FED"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Защита на</w:t>
      </w:r>
      <w:r w:rsidR="004144B2">
        <w:rPr>
          <w:rFonts w:ascii="Cambria" w:hAnsi="Cambria" w:cstheme="minorHAnsi"/>
          <w:b/>
          <w:iCs/>
          <w:color w:val="548DD4" w:themeColor="text2" w:themeTint="99"/>
        </w:rPr>
        <w:t xml:space="preserve"> правата и интересите на</w:t>
      </w:r>
      <w:r w:rsidRPr="00823FED">
        <w:rPr>
          <w:rFonts w:ascii="Cambria" w:hAnsi="Cambria" w:cstheme="minorHAnsi"/>
          <w:b/>
          <w:iCs/>
          <w:color w:val="548DD4" w:themeColor="text2" w:themeTint="99"/>
        </w:rPr>
        <w:t xml:space="preserve"> български физически и юридически лица и български</w:t>
      </w:r>
      <w:r w:rsidR="004144B2">
        <w:rPr>
          <w:rFonts w:ascii="Cambria" w:hAnsi="Cambria" w:cstheme="minorHAnsi"/>
          <w:b/>
          <w:iCs/>
          <w:color w:val="548DD4" w:themeColor="text2" w:themeTint="99"/>
        </w:rPr>
        <w:t>те</w:t>
      </w:r>
      <w:r w:rsidRPr="00823FED">
        <w:rPr>
          <w:rFonts w:ascii="Cambria" w:hAnsi="Cambria" w:cstheme="minorHAnsi"/>
          <w:b/>
          <w:iCs/>
          <w:color w:val="548DD4" w:themeColor="text2" w:themeTint="99"/>
        </w:rPr>
        <w:t xml:space="preserve"> общности зад граница</w:t>
      </w:r>
    </w:p>
    <w:p w14:paraId="5CC4E303" w14:textId="57E24C12" w:rsidR="00D346BA" w:rsidRPr="00823FED" w:rsidRDefault="00067F99" w:rsidP="00067F99">
      <w:pPr>
        <w:spacing w:after="0" w:line="240" w:lineRule="auto"/>
        <w:ind w:firstLine="284"/>
        <w:jc w:val="both"/>
        <w:rPr>
          <w:rFonts w:ascii="Cambria" w:hAnsi="Cambria" w:cstheme="minorHAnsi"/>
          <w:bCs/>
          <w:iCs/>
        </w:rPr>
      </w:pPr>
      <w:r w:rsidRPr="00823FED">
        <w:rPr>
          <w:rFonts w:ascii="Cambria" w:hAnsi="Cambria" w:cstheme="minorHAnsi"/>
          <w:bCs/>
          <w:iCs/>
        </w:rPr>
        <w:t xml:space="preserve">Продължи работата на консулските длъжностни лица и служителите </w:t>
      </w:r>
      <w:r w:rsidR="00413717">
        <w:rPr>
          <w:rFonts w:ascii="Cambria" w:hAnsi="Cambria" w:cstheme="minorHAnsi"/>
          <w:bCs/>
          <w:iCs/>
        </w:rPr>
        <w:t xml:space="preserve">на МВнР </w:t>
      </w:r>
      <w:r w:rsidRPr="00823FED">
        <w:rPr>
          <w:rFonts w:ascii="Cambria" w:hAnsi="Cambria" w:cstheme="minorHAnsi"/>
          <w:bCs/>
          <w:iCs/>
        </w:rPr>
        <w:t>за защита правата на българските граждани, задържани в различни места за лишаване от свобода на територията на държавите на акредитация, изразяваща се в съдействие за изясняване на причините за арест, местонахождение на задържаните, назначаване при нужда на служебни адвокати и преводачи, спазване на основните им човешки права, осигуряване на адекватно на здравословното им състояние и условията медицинско обслужване, проява на същото отношение към тях, както към гражданите на приемащата страна, намиращи се в същите затвори и изправителни заведения, предаване на кореспонденция между задържаните и близките им, предоставяне на информация за хода на образуваните производства и съдебни дела и др.</w:t>
      </w:r>
    </w:p>
    <w:p w14:paraId="0845C8E1" w14:textId="77777777" w:rsidR="00067F99" w:rsidRPr="00823FED" w:rsidRDefault="00067F99" w:rsidP="00067F99">
      <w:pPr>
        <w:spacing w:after="0" w:line="240" w:lineRule="auto"/>
        <w:ind w:firstLine="284"/>
        <w:jc w:val="both"/>
        <w:rPr>
          <w:rFonts w:ascii="Cambria" w:hAnsi="Cambria" w:cstheme="minorHAnsi"/>
          <w:bCs/>
          <w:iCs/>
        </w:rPr>
      </w:pPr>
      <w:r w:rsidRPr="00823FED">
        <w:rPr>
          <w:rFonts w:ascii="Cambria" w:hAnsi="Cambria" w:cstheme="minorHAnsi"/>
          <w:bCs/>
          <w:iCs/>
        </w:rPr>
        <w:t>МВнР, съвместно със задграничните представителства, продължи да оказва съдействие на българските граждани, гражданите на ЕС и граждани на трети страни за пътуването до и през България, респ. до държавите им по произход, в условията на рестрикциите, свързани с COVID-19.</w:t>
      </w:r>
    </w:p>
    <w:p w14:paraId="78380A98" w14:textId="77777777" w:rsidR="00067F99" w:rsidRPr="00823FED" w:rsidRDefault="00067F99" w:rsidP="00716035">
      <w:pPr>
        <w:spacing w:after="0" w:line="240" w:lineRule="auto"/>
        <w:jc w:val="both"/>
        <w:rPr>
          <w:rFonts w:ascii="Cambria" w:hAnsi="Cambria" w:cstheme="minorHAnsi"/>
          <w:b/>
          <w:iCs/>
          <w:color w:val="548DD4" w:themeColor="text2" w:themeTint="99"/>
        </w:rPr>
      </w:pPr>
    </w:p>
    <w:p w14:paraId="18FB6587" w14:textId="77777777" w:rsidR="00D346BA" w:rsidRPr="00823FED"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Защита на България пред Съда на ЕС и Общия съд на ЕС</w:t>
      </w:r>
    </w:p>
    <w:p w14:paraId="7F72ACB4" w14:textId="279695E1" w:rsidR="00067F99" w:rsidRPr="00823FED" w:rsidRDefault="00067F99" w:rsidP="00067F99">
      <w:pPr>
        <w:spacing w:after="0" w:line="240" w:lineRule="auto"/>
        <w:ind w:firstLine="284"/>
        <w:jc w:val="both"/>
        <w:rPr>
          <w:rFonts w:ascii="Cambria" w:hAnsi="Cambria" w:cstheme="minorHAnsi"/>
        </w:rPr>
      </w:pPr>
      <w:r w:rsidRPr="00823FED">
        <w:rPr>
          <w:rFonts w:ascii="Cambria" w:hAnsi="Cambria" w:cstheme="minorHAnsi"/>
        </w:rPr>
        <w:t xml:space="preserve">В периода 1 януари – 30 юни 2021 г. се работи </w:t>
      </w:r>
      <w:r w:rsidR="00413717">
        <w:rPr>
          <w:rFonts w:ascii="Cambria" w:hAnsi="Cambria" w:cstheme="minorHAnsi"/>
        </w:rPr>
        <w:t xml:space="preserve">по </w:t>
      </w:r>
      <w:r w:rsidRPr="00823FED">
        <w:rPr>
          <w:rFonts w:ascii="Cambria" w:hAnsi="Cambria" w:cstheme="minorHAnsi"/>
        </w:rPr>
        <w:t>две дела срещу Република България за установяване на неизпълнение на задължения, произтичащи от правото на Съюза. И двете дела са в областта на околната среда.</w:t>
      </w:r>
    </w:p>
    <w:p w14:paraId="6D586C39" w14:textId="77777777" w:rsidR="00067F99" w:rsidRPr="00823FED" w:rsidRDefault="00067F99" w:rsidP="00067F99">
      <w:pPr>
        <w:spacing w:after="0" w:line="240" w:lineRule="auto"/>
        <w:ind w:firstLine="284"/>
        <w:jc w:val="both"/>
        <w:rPr>
          <w:rFonts w:ascii="Cambria" w:hAnsi="Cambria" w:cstheme="minorHAnsi"/>
        </w:rPr>
      </w:pPr>
      <w:r w:rsidRPr="00823FED">
        <w:rPr>
          <w:rFonts w:ascii="Cambria" w:hAnsi="Cambria" w:cstheme="minorHAnsi"/>
        </w:rPr>
        <w:t>България подаде жалба пред Общия съд на ЕС за отмяна на Решение за изпълнение (ЕС) 2021/261 на Комисията от 17 февруари 2021 година за изключване от финансиране от страна на Европейския съюз на някои разходи, направени от държавите членки по линия на Европейския фонд за гарантиране на земеделието (ЕФГЗ) и на Европейския земеделски фонд за развитие на селските райони.</w:t>
      </w:r>
    </w:p>
    <w:p w14:paraId="743CCA34" w14:textId="77777777" w:rsidR="00067F99" w:rsidRPr="00823FED" w:rsidRDefault="00067F99" w:rsidP="00067F99">
      <w:pPr>
        <w:spacing w:after="0" w:line="240" w:lineRule="auto"/>
        <w:ind w:firstLine="284"/>
        <w:jc w:val="both"/>
        <w:rPr>
          <w:rFonts w:ascii="Cambria" w:hAnsi="Cambria" w:cstheme="minorHAnsi"/>
        </w:rPr>
      </w:pPr>
      <w:r w:rsidRPr="00823FED">
        <w:rPr>
          <w:rFonts w:ascii="Cambria" w:hAnsi="Cambria" w:cstheme="minorHAnsi"/>
        </w:rPr>
        <w:t>През посочения период продължи работата по заведените от Република България три дела относно отмяната, частично или в цялост, на три законодателни акта от т.нар. Пакет за Мобилност I.</w:t>
      </w:r>
    </w:p>
    <w:p w14:paraId="5B2624B3" w14:textId="77777777" w:rsidR="005F5D96" w:rsidRPr="00823FED" w:rsidRDefault="005F5D96" w:rsidP="00716035">
      <w:pPr>
        <w:spacing w:after="0" w:line="240" w:lineRule="auto"/>
        <w:jc w:val="both"/>
        <w:rPr>
          <w:rFonts w:ascii="Cambria" w:hAnsi="Cambria" w:cstheme="minorHAnsi"/>
          <w:b/>
          <w:iCs/>
          <w:color w:val="548DD4" w:themeColor="text2" w:themeTint="99"/>
        </w:rPr>
      </w:pPr>
    </w:p>
    <w:p w14:paraId="615AD1F3" w14:textId="77777777" w:rsidR="00D346BA" w:rsidRPr="00823FED"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Управление на българската помощ за развитие</w:t>
      </w:r>
    </w:p>
    <w:p w14:paraId="743538D5" w14:textId="77777777" w:rsidR="0053641E" w:rsidRPr="00823FED" w:rsidRDefault="0053641E" w:rsidP="00C73B24">
      <w:pPr>
        <w:spacing w:after="0" w:line="240" w:lineRule="auto"/>
        <w:ind w:firstLine="360"/>
        <w:jc w:val="both"/>
        <w:rPr>
          <w:rFonts w:ascii="Cambria" w:hAnsi="Cambria" w:cstheme="minorHAnsi"/>
        </w:rPr>
      </w:pPr>
      <w:r w:rsidRPr="00823FED">
        <w:rPr>
          <w:rFonts w:ascii="Cambria" w:hAnsi="Cambria" w:cstheme="minorHAnsi"/>
        </w:rPr>
        <w:t xml:space="preserve">През шестмесечието беше постигната висока степен на изпълнение на следните програмни цели: </w:t>
      </w:r>
    </w:p>
    <w:p w14:paraId="38D23040" w14:textId="77777777" w:rsidR="0053641E" w:rsidRPr="00823FED" w:rsidRDefault="0053641E" w:rsidP="0053641E">
      <w:pPr>
        <w:pStyle w:val="ListParagraph"/>
        <w:numPr>
          <w:ilvl w:val="0"/>
          <w:numId w:val="18"/>
        </w:numPr>
        <w:spacing w:after="0" w:line="240" w:lineRule="auto"/>
        <w:jc w:val="both"/>
        <w:rPr>
          <w:rFonts w:ascii="Cambria" w:hAnsi="Cambria" w:cstheme="minorHAnsi"/>
        </w:rPr>
      </w:pPr>
      <w:r w:rsidRPr="00823FED">
        <w:rPr>
          <w:rFonts w:ascii="Cambria" w:hAnsi="Cambria" w:cstheme="minorHAnsi"/>
        </w:rPr>
        <w:t xml:space="preserve">Развитие на сътрудничество за развитие като част от външната политика на България, на усилията за постигане на устойчиво развитие, укрепване на международния мир, сигурност и стабилност на основата на ценностите на демокрацията, плурализма, върховенство на закона и зачитането на правата на човека; </w:t>
      </w:r>
    </w:p>
    <w:p w14:paraId="7291DE3D" w14:textId="77777777" w:rsidR="0053641E" w:rsidRPr="00823FED" w:rsidRDefault="0053641E" w:rsidP="0053641E">
      <w:pPr>
        <w:pStyle w:val="ListParagraph"/>
        <w:numPr>
          <w:ilvl w:val="0"/>
          <w:numId w:val="18"/>
        </w:numPr>
        <w:spacing w:after="0" w:line="240" w:lineRule="auto"/>
        <w:jc w:val="both"/>
        <w:rPr>
          <w:rFonts w:ascii="Cambria" w:hAnsi="Cambria" w:cstheme="minorHAnsi"/>
        </w:rPr>
      </w:pPr>
      <w:r w:rsidRPr="00823FED">
        <w:rPr>
          <w:rFonts w:ascii="Cambria" w:hAnsi="Cambria" w:cstheme="minorHAnsi"/>
        </w:rPr>
        <w:t>Осигуряване на прозрачност, публичност, видимост и популяризиране на българската помощ за развитие в страните-партньори, вкл. чрез общи и координирани действия с държавите членки на ЕС, Европейската комисия, както и с други донори.</w:t>
      </w:r>
    </w:p>
    <w:p w14:paraId="6107C5F1" w14:textId="77777777" w:rsidR="0053641E" w:rsidRPr="00823FED" w:rsidRDefault="0053641E" w:rsidP="0053641E">
      <w:pPr>
        <w:pStyle w:val="ListParagraph"/>
        <w:numPr>
          <w:ilvl w:val="0"/>
          <w:numId w:val="18"/>
        </w:numPr>
        <w:spacing w:after="0" w:line="240" w:lineRule="auto"/>
        <w:jc w:val="both"/>
        <w:rPr>
          <w:rFonts w:ascii="Cambria" w:hAnsi="Cambria" w:cstheme="minorHAnsi"/>
        </w:rPr>
      </w:pPr>
      <w:r w:rsidRPr="00823FED">
        <w:rPr>
          <w:rFonts w:ascii="Cambria" w:hAnsi="Cambria" w:cstheme="minorHAnsi"/>
        </w:rPr>
        <w:t>Координирано осъществяване на българската политика на сътрудничество за развитие с общата политика на Европейския съюз, новия Европейски консенсус за развитие от 2017 г. и Европейския консенсус за хуманитарна помощ от 2007 г.;</w:t>
      </w:r>
    </w:p>
    <w:p w14:paraId="02418B17" w14:textId="77777777" w:rsidR="0053641E" w:rsidRPr="00823FED" w:rsidRDefault="0053641E" w:rsidP="0053641E">
      <w:pPr>
        <w:pStyle w:val="ListParagraph"/>
        <w:numPr>
          <w:ilvl w:val="0"/>
          <w:numId w:val="18"/>
        </w:numPr>
        <w:spacing w:after="0" w:line="240" w:lineRule="auto"/>
        <w:jc w:val="both"/>
        <w:rPr>
          <w:rFonts w:ascii="Cambria" w:hAnsi="Cambria" w:cstheme="minorHAnsi"/>
        </w:rPr>
      </w:pPr>
      <w:r w:rsidRPr="00823FED">
        <w:rPr>
          <w:rFonts w:ascii="Cambria" w:hAnsi="Cambria" w:cstheme="minorHAnsi"/>
        </w:rPr>
        <w:t xml:space="preserve">Участие на България в заседанията на Комитета по помощта за развитие на ОИСР и неговите субсидиарни формации; </w:t>
      </w:r>
    </w:p>
    <w:p w14:paraId="2781B159" w14:textId="77777777" w:rsidR="0053641E" w:rsidRPr="00823FED" w:rsidRDefault="0053641E" w:rsidP="0053641E">
      <w:pPr>
        <w:pStyle w:val="ListParagraph"/>
        <w:numPr>
          <w:ilvl w:val="0"/>
          <w:numId w:val="18"/>
        </w:numPr>
        <w:spacing w:after="0" w:line="240" w:lineRule="auto"/>
        <w:jc w:val="both"/>
        <w:rPr>
          <w:rFonts w:ascii="Cambria" w:hAnsi="Cambria" w:cstheme="minorHAnsi"/>
        </w:rPr>
      </w:pPr>
      <w:r w:rsidRPr="00823FED">
        <w:rPr>
          <w:rFonts w:ascii="Cambria" w:hAnsi="Cambria" w:cstheme="minorHAnsi"/>
        </w:rPr>
        <w:t>Съдействие за постигане на Целите за устойчиво развитие от Дневен ред 2030 на ООН в страните-партньори.</w:t>
      </w:r>
    </w:p>
    <w:p w14:paraId="357D5B75" w14:textId="73067BE4" w:rsidR="0053641E" w:rsidRPr="00823FED" w:rsidRDefault="0053641E" w:rsidP="00C73B24">
      <w:pPr>
        <w:spacing w:after="0" w:line="240" w:lineRule="auto"/>
        <w:ind w:firstLine="360"/>
        <w:jc w:val="both"/>
        <w:rPr>
          <w:rFonts w:ascii="Cambria" w:hAnsi="Cambria" w:cstheme="minorHAnsi"/>
        </w:rPr>
      </w:pPr>
      <w:r w:rsidRPr="00823FED">
        <w:rPr>
          <w:rFonts w:ascii="Cambria" w:hAnsi="Cambria" w:cstheme="minorHAnsi"/>
        </w:rPr>
        <w:t>Изпълнението на целите продължава да е силно повлияно от разпространението на COVID-19 и необходимостта от оказване на навременна помощ за посрещане на по-спешните нужди на страните-партньори за борба с кризата</w:t>
      </w:r>
      <w:r w:rsidR="001000BF">
        <w:rPr>
          <w:rFonts w:ascii="Cambria" w:hAnsi="Cambria" w:cstheme="minorHAnsi"/>
        </w:rPr>
        <w:t xml:space="preserve">. </w:t>
      </w:r>
    </w:p>
    <w:p w14:paraId="252A63DC" w14:textId="77777777" w:rsidR="0053641E" w:rsidRPr="00823FED" w:rsidRDefault="0053641E" w:rsidP="00716035">
      <w:pPr>
        <w:spacing w:after="0" w:line="240" w:lineRule="auto"/>
        <w:jc w:val="both"/>
        <w:rPr>
          <w:rFonts w:ascii="Cambria" w:hAnsi="Cambria" w:cstheme="minorHAnsi"/>
          <w:b/>
          <w:iCs/>
          <w:color w:val="548DD4" w:themeColor="text2" w:themeTint="99"/>
        </w:rPr>
      </w:pPr>
    </w:p>
    <w:p w14:paraId="6645A5EB" w14:textId="77777777" w:rsidR="00D346BA" w:rsidRPr="00823FED"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Изпълнение на националните цели и приоритети, чрез участието на България във формирането на политики на ЕС и НАТО</w:t>
      </w:r>
    </w:p>
    <w:p w14:paraId="4A85BD0E" w14:textId="77777777" w:rsidR="00917D2B" w:rsidRDefault="00917D2B" w:rsidP="00C73B24">
      <w:pPr>
        <w:spacing w:after="0" w:line="240" w:lineRule="auto"/>
        <w:ind w:firstLine="426"/>
        <w:jc w:val="both"/>
        <w:rPr>
          <w:rFonts w:ascii="Cambria" w:hAnsi="Cambria" w:cstheme="minorHAnsi"/>
        </w:rPr>
      </w:pPr>
      <w:r w:rsidRPr="00917D2B">
        <w:rPr>
          <w:rFonts w:ascii="Cambria" w:hAnsi="Cambria" w:cstheme="minorHAnsi"/>
        </w:rPr>
        <w:t>Основните усилия през отчетния период бяха насочени към осигуряване на активното участие на България в процесите на формиране и прилагане на Общата външна политика и политика на сигурност на ЕС и Общата политика на сигурност и отбрана на ЕС в условията на пандемията от COVID-19. В съответствие с планираните финансови ресурси, заложените за отчетния период цели бяха постигнати в голямата си част, като българските позиции и действия се основаваха на принципите на приемственост, последователност, отчитане на националните интереси и изпълнение на поетите от страната ни международни ангажименти.</w:t>
      </w:r>
    </w:p>
    <w:p w14:paraId="726DCDD1" w14:textId="42301AED" w:rsidR="005E5099" w:rsidRPr="00823FED" w:rsidRDefault="00C73B24" w:rsidP="00C73B24">
      <w:pPr>
        <w:spacing w:after="0" w:line="240" w:lineRule="auto"/>
        <w:ind w:firstLine="426"/>
        <w:jc w:val="both"/>
        <w:rPr>
          <w:rFonts w:ascii="Cambria" w:hAnsi="Cambria" w:cstheme="minorHAnsi"/>
        </w:rPr>
      </w:pPr>
      <w:r w:rsidRPr="00823FED">
        <w:rPr>
          <w:rFonts w:ascii="Cambria" w:hAnsi="Cambria" w:cstheme="minorHAnsi"/>
          <w:bCs/>
        </w:rPr>
        <w:t>Активното участие на България в процесите и актуалния дневния ред на НАТО бе водещ външнополитически приоритет. О</w:t>
      </w:r>
      <w:r w:rsidRPr="00823FED">
        <w:rPr>
          <w:rFonts w:ascii="Cambria" w:hAnsi="Cambria" w:cstheme="minorHAnsi"/>
        </w:rPr>
        <w:t xml:space="preserve">сновни събития първата половина на 2021 г. бяха присъствената среща в Брюксел на държавните и правителствените ръководители на НАТО (14 юни 2021 г.), подготвена от срещата на външните министри в Брюксел (23-24 март), извънредната съвместна </w:t>
      </w:r>
      <w:proofErr w:type="spellStart"/>
      <w:r w:rsidRPr="00823FED">
        <w:rPr>
          <w:rFonts w:ascii="Cambria" w:hAnsi="Cambria" w:cstheme="minorHAnsi"/>
        </w:rPr>
        <w:t>видеокоферентна</w:t>
      </w:r>
      <w:proofErr w:type="spellEnd"/>
      <w:r w:rsidRPr="00823FED">
        <w:rPr>
          <w:rFonts w:ascii="Cambria" w:hAnsi="Cambria" w:cstheme="minorHAnsi"/>
        </w:rPr>
        <w:t xml:space="preserve"> среща на външните министри и на отбраната на 14 април и видеоконферентните срещи на външните министри и на министрите на отбраната на 1 юни т. г.</w:t>
      </w:r>
    </w:p>
    <w:p w14:paraId="797DD11F" w14:textId="77777777" w:rsidR="0053641E" w:rsidRPr="00823FED" w:rsidRDefault="0053641E" w:rsidP="00716035">
      <w:pPr>
        <w:spacing w:after="0" w:line="240" w:lineRule="auto"/>
        <w:jc w:val="both"/>
        <w:rPr>
          <w:rFonts w:ascii="Cambria" w:hAnsi="Cambria" w:cstheme="minorHAnsi"/>
          <w:b/>
          <w:iCs/>
          <w:color w:val="548DD4" w:themeColor="text2" w:themeTint="99"/>
        </w:rPr>
      </w:pPr>
    </w:p>
    <w:p w14:paraId="6ACC7863" w14:textId="77777777" w:rsidR="00D346BA" w:rsidRPr="00823FED"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Ефективно изпълнение на националните цели и приоритети на Република България в Европейския съюз посредством координирана и последователна политика</w:t>
      </w:r>
    </w:p>
    <w:p w14:paraId="7D3A531F" w14:textId="61B584AA" w:rsidR="005E5099" w:rsidRDefault="00917D2B" w:rsidP="00917D2B">
      <w:pPr>
        <w:spacing w:after="0" w:line="240" w:lineRule="auto"/>
        <w:ind w:firstLine="284"/>
        <w:jc w:val="both"/>
        <w:rPr>
          <w:rFonts w:ascii="Cambria" w:hAnsi="Cambria" w:cstheme="minorHAnsi"/>
        </w:rPr>
      </w:pPr>
      <w:r w:rsidRPr="00917D2B">
        <w:rPr>
          <w:rFonts w:ascii="Cambria" w:hAnsi="Cambria" w:cstheme="minorHAnsi"/>
        </w:rPr>
        <w:t>През отчетния период, МВнР последователно отстоява националните приоритети в разработването и реализирането на политиките на ЕС по ключови теми като: разширяването на ЕС, миграцията, върховенството на правото, отношения между Европейския съюз и Обединеното кралство и др. Кризата, породена от пандемията от пандемията от COVID-19, продължи да оказва влияние върху работата на Министерството както по отделните досиета в рамките на ЕС, така и в контекста на общите усилия на ЕС за преодоляване на кризата в различните ѝ измерения – здравно, социално и икономическо. В своята работа Министерството на външните работи се ръководи от принципите на солидарност и недопускане задълбочаване на различията и създаване на нови разделения в ЕС. Основен приоритет за страната ни бе това ЕС да остане единен и да излезе от кризата по-силен и по-подготвен.</w:t>
      </w:r>
    </w:p>
    <w:p w14:paraId="0BAF47D3" w14:textId="77777777" w:rsidR="00917D2B" w:rsidRPr="00823FED" w:rsidRDefault="00917D2B" w:rsidP="00917D2B">
      <w:pPr>
        <w:spacing w:after="0" w:line="240" w:lineRule="auto"/>
        <w:ind w:firstLine="284"/>
        <w:jc w:val="both"/>
        <w:rPr>
          <w:rFonts w:ascii="Cambria" w:hAnsi="Cambria" w:cstheme="minorHAnsi"/>
          <w:b/>
          <w:iCs/>
          <w:color w:val="548DD4" w:themeColor="text2" w:themeTint="99"/>
        </w:rPr>
      </w:pPr>
    </w:p>
    <w:p w14:paraId="4193B889" w14:textId="77777777" w:rsidR="00D346BA" w:rsidRPr="00823FED"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Участие в Съвета на ЕС и неговите подготвителни органи</w:t>
      </w:r>
    </w:p>
    <w:p w14:paraId="5B1B2560" w14:textId="77777777" w:rsidR="00B01AFD" w:rsidRPr="00823FED" w:rsidRDefault="009E05DB" w:rsidP="009E05DB">
      <w:pPr>
        <w:spacing w:after="0" w:line="240" w:lineRule="auto"/>
        <w:ind w:firstLine="284"/>
        <w:jc w:val="both"/>
        <w:rPr>
          <w:rFonts w:ascii="Cambria" w:hAnsi="Cambria" w:cstheme="minorHAnsi"/>
        </w:rPr>
      </w:pPr>
      <w:r w:rsidRPr="00823FED">
        <w:rPr>
          <w:rFonts w:ascii="Cambria" w:hAnsi="Cambria" w:cstheme="minorHAnsi"/>
        </w:rPr>
        <w:t>През отчетния период бе осигурена подготовката на българското участие в редовните и извънредни заседания на Съвет „Външни работи“</w:t>
      </w:r>
      <w:r w:rsidRPr="00823FED">
        <w:rPr>
          <w:rFonts w:ascii="Cambria" w:hAnsi="Cambria" w:cstheme="minorHAnsi"/>
          <w:lang w:eastAsia="x-none"/>
        </w:rPr>
        <w:t xml:space="preserve"> (</w:t>
      </w:r>
      <w:r w:rsidRPr="00823FED">
        <w:rPr>
          <w:rFonts w:ascii="Cambria" w:hAnsi="Cambria" w:cstheme="minorHAnsi"/>
        </w:rPr>
        <w:t>25 януари, 22 февруари, 22 март, 10 май, 21 юни), както и на неформалната среща на министрите на външните работи „</w:t>
      </w:r>
      <w:proofErr w:type="spellStart"/>
      <w:r w:rsidRPr="00823FED">
        <w:rPr>
          <w:rFonts w:ascii="Cambria" w:hAnsi="Cambria" w:cstheme="minorHAnsi"/>
        </w:rPr>
        <w:t>Гимних</w:t>
      </w:r>
      <w:proofErr w:type="spellEnd"/>
      <w:r w:rsidRPr="00823FED">
        <w:rPr>
          <w:rFonts w:ascii="Cambria" w:hAnsi="Cambria" w:cstheme="minorHAnsi"/>
        </w:rPr>
        <w:t>“</w:t>
      </w:r>
      <w:r w:rsidRPr="00823FED">
        <w:rPr>
          <w:rFonts w:ascii="Cambria" w:hAnsi="Cambria" w:cstheme="minorHAnsi"/>
          <w:lang w:eastAsia="x-none"/>
        </w:rPr>
        <w:t xml:space="preserve"> (</w:t>
      </w:r>
      <w:r w:rsidRPr="00823FED">
        <w:rPr>
          <w:rFonts w:ascii="Cambria" w:hAnsi="Cambria" w:cstheme="minorHAnsi"/>
        </w:rPr>
        <w:t xml:space="preserve">26-27 май, Лисабон). </w:t>
      </w:r>
      <w:r w:rsidR="00B01AFD" w:rsidRPr="00823FED">
        <w:rPr>
          <w:rFonts w:ascii="Cambria" w:hAnsi="Cambria" w:cstheme="minorHAnsi"/>
        </w:rPr>
        <w:t xml:space="preserve">През първата половина на 2021 г. бяха подготвени неформалните видеоконферентни заседания на министрите по европейски въпроси на 18 януари, 23 февруари, 23 март, 20 април и редовните заседания на Съвет „Общи въпроси“ (СОВ) на 11 май и 22 юни. </w:t>
      </w:r>
    </w:p>
    <w:p w14:paraId="3B75CA43" w14:textId="77777777" w:rsidR="0053641E" w:rsidRPr="00823FED" w:rsidRDefault="0053641E" w:rsidP="00716035">
      <w:pPr>
        <w:spacing w:after="0" w:line="240" w:lineRule="auto"/>
        <w:jc w:val="both"/>
        <w:rPr>
          <w:rFonts w:ascii="Cambria" w:hAnsi="Cambria" w:cstheme="minorHAnsi"/>
          <w:b/>
          <w:iCs/>
          <w:color w:val="548DD4" w:themeColor="text2" w:themeTint="99"/>
        </w:rPr>
      </w:pPr>
    </w:p>
    <w:p w14:paraId="30DD45E1" w14:textId="77777777" w:rsidR="00D346BA" w:rsidRPr="00823FED" w:rsidRDefault="00D346BA" w:rsidP="00D346BA">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Изпълнение на националните цели и приоритети, чрез участието на България във формирането на политики на ООН</w:t>
      </w:r>
    </w:p>
    <w:p w14:paraId="1998F56E" w14:textId="01F7D5E1" w:rsidR="009E05DB" w:rsidRPr="00324A71" w:rsidRDefault="00324A71" w:rsidP="00324A71">
      <w:pPr>
        <w:spacing w:after="0" w:line="240" w:lineRule="auto"/>
        <w:ind w:firstLine="284"/>
        <w:jc w:val="both"/>
        <w:rPr>
          <w:rFonts w:ascii="Cambria" w:hAnsi="Cambria" w:cstheme="minorHAnsi"/>
        </w:rPr>
      </w:pPr>
      <w:r w:rsidRPr="00324A71">
        <w:rPr>
          <w:rFonts w:ascii="Cambria" w:hAnsi="Cambria" w:cstheme="minorHAnsi"/>
        </w:rPr>
        <w:t xml:space="preserve">Съвместно с българските постоянни представителства към ООН в Ню Йорк, Женева и Виена, МВнР съдейства за защита на националните интереси при участието на Република България в работата на ООН и при изготвянето на общи позиции на ЕС по </w:t>
      </w:r>
      <w:r>
        <w:rPr>
          <w:rFonts w:ascii="Cambria" w:hAnsi="Cambria" w:cstheme="minorHAnsi"/>
        </w:rPr>
        <w:t xml:space="preserve">теми </w:t>
      </w:r>
      <w:r w:rsidRPr="00324A71">
        <w:rPr>
          <w:rFonts w:ascii="Cambria" w:hAnsi="Cambria" w:cstheme="minorHAnsi"/>
        </w:rPr>
        <w:t>на ООН чрез провеждане на двустранни и многостранни срещи по актуални въпроси от дневния ред на Световната организация.</w:t>
      </w:r>
    </w:p>
    <w:p w14:paraId="1C0C49B1" w14:textId="77777777" w:rsidR="009E05DB" w:rsidRPr="00823FED" w:rsidRDefault="009E05DB" w:rsidP="00D346BA">
      <w:pPr>
        <w:spacing w:after="0" w:line="240" w:lineRule="auto"/>
        <w:jc w:val="both"/>
        <w:rPr>
          <w:rFonts w:ascii="Cambria" w:hAnsi="Cambria" w:cstheme="minorHAnsi"/>
          <w:b/>
          <w:iCs/>
          <w:color w:val="548DD4" w:themeColor="text2" w:themeTint="99"/>
        </w:rPr>
      </w:pPr>
    </w:p>
    <w:p w14:paraId="1E73BEC7" w14:textId="77777777" w:rsidR="00D346BA" w:rsidRPr="00823FED" w:rsidRDefault="00D346BA" w:rsidP="00D346BA">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Активни и прагматични двустранни отношения</w:t>
      </w:r>
    </w:p>
    <w:p w14:paraId="596AA9F7" w14:textId="77777777" w:rsidR="006E6336" w:rsidRPr="00823FED" w:rsidRDefault="00CF7AD9" w:rsidP="00CF7AD9">
      <w:pPr>
        <w:spacing w:after="0" w:line="240" w:lineRule="auto"/>
        <w:ind w:firstLine="284"/>
        <w:jc w:val="both"/>
        <w:rPr>
          <w:rFonts w:ascii="Cambria" w:hAnsi="Cambria" w:cstheme="minorHAnsi"/>
        </w:rPr>
      </w:pPr>
      <w:r w:rsidRPr="00823FED">
        <w:rPr>
          <w:rFonts w:ascii="Cambria" w:hAnsi="Cambria" w:cstheme="minorHAnsi"/>
        </w:rPr>
        <w:t>През първата половина на 2021 г. Република България продължи активно да задълбочава двустранните политически, икономически и културни отношения със страните от Югоизточна Европа. Централно място продължи да заема темата за европейската перспектива и свързаността на страните от Западните Балкани. Бяха предприети конкретни мерки за възстановяване на доверието и възобновяване на открития и съдържателен диалог с Република Северна Македония. Бяха проведени двустранни срещи на всички възможни нива с цел проучване на възможностите за постигане на взаимно приемливи решения на отворените въпроси и стриктното прилагане от страна на РСМ на буквата и духа на Договора за приятелство, добросъседство и сътрудничество от 2017 г.</w:t>
      </w:r>
    </w:p>
    <w:p w14:paraId="6866B22E" w14:textId="77777777" w:rsidR="00C62E0B" w:rsidRPr="00C62E0B" w:rsidRDefault="00C62E0B" w:rsidP="00C62E0B">
      <w:pPr>
        <w:spacing w:after="0" w:line="240" w:lineRule="auto"/>
        <w:ind w:firstLine="284"/>
        <w:jc w:val="both"/>
        <w:rPr>
          <w:rFonts w:ascii="Cambria" w:hAnsi="Cambria" w:cstheme="minorHAnsi"/>
        </w:rPr>
      </w:pPr>
      <w:r w:rsidRPr="00C62E0B">
        <w:rPr>
          <w:rFonts w:ascii="Cambria" w:hAnsi="Cambria" w:cstheme="minorHAnsi"/>
        </w:rPr>
        <w:t>Сред приоритетните области на сътрудничеството с държавите от Западна и Централна Европа през първата половина на 2021 г. бяха: развитие на двустранното сътрудничество и защита на интересите на България; утвърждаване на България като страна с благоприятна икономическа и финансова среда и предпочитана дестинация за бизнес и инвестиции; утвърждаване на България като страна с дългогодишни традиции и значими постижения в сферата на науката, образованието и културата и задълбочаване на сътрудничеството в тези области; разширяване на мрежата от двустранни партньорства и развитие на традиционните приятелски отношения с европейските държави.</w:t>
      </w:r>
    </w:p>
    <w:p w14:paraId="6C07421E" w14:textId="2A51B14F" w:rsidR="005F5D96" w:rsidRPr="00823FED" w:rsidRDefault="00BF091C" w:rsidP="005F5D96">
      <w:pPr>
        <w:spacing w:after="0" w:line="240" w:lineRule="auto"/>
        <w:ind w:firstLine="284"/>
        <w:jc w:val="both"/>
        <w:rPr>
          <w:rFonts w:ascii="Cambria" w:hAnsi="Cambria" w:cstheme="minorHAnsi"/>
        </w:rPr>
      </w:pPr>
      <w:r>
        <w:rPr>
          <w:rFonts w:ascii="Cambria" w:hAnsi="Cambria" w:cstheme="minorHAnsi"/>
        </w:rPr>
        <w:t xml:space="preserve">Важен аспект </w:t>
      </w:r>
      <w:r w:rsidR="005F5D96" w:rsidRPr="00823FED">
        <w:rPr>
          <w:rFonts w:ascii="Cambria" w:hAnsi="Cambria" w:cstheme="minorHAnsi"/>
        </w:rPr>
        <w:t>в дейността на МВнР бяха страните от Източното съседство. Водещо място заема Украйна, предвид продължаващата криза и наличието в страната на най-голямата българска историческа общност зад граница.</w:t>
      </w:r>
    </w:p>
    <w:p w14:paraId="6D806D7C" w14:textId="77777777" w:rsidR="001A01C7" w:rsidRPr="00823FED" w:rsidRDefault="001A01C7" w:rsidP="00CF7AD9">
      <w:pPr>
        <w:spacing w:after="0" w:line="240" w:lineRule="auto"/>
        <w:ind w:firstLine="284"/>
        <w:jc w:val="both"/>
        <w:rPr>
          <w:rFonts w:ascii="Cambria" w:hAnsi="Cambria" w:cstheme="minorHAnsi"/>
        </w:rPr>
      </w:pPr>
      <w:r w:rsidRPr="00823FED">
        <w:rPr>
          <w:rFonts w:ascii="Cambria" w:hAnsi="Cambria" w:cstheme="minorHAnsi"/>
        </w:rPr>
        <w:t>Продължиха последователните усилия за утвърждаване и възходящо развитие на стратегическото партньорство на България със САЩ, задълбочаване на двустранните отношения с Канада и за развиване на отношенията и сътрудничеството между Република България и държавите от Латинска Америка и Карибите.</w:t>
      </w:r>
    </w:p>
    <w:p w14:paraId="7A3F0D9B" w14:textId="39ACB007" w:rsidR="00C62E0B" w:rsidRPr="00C62E0B" w:rsidRDefault="00C62E0B" w:rsidP="00C62E0B">
      <w:pPr>
        <w:spacing w:after="0" w:line="240" w:lineRule="auto"/>
        <w:ind w:firstLine="284"/>
        <w:jc w:val="both"/>
        <w:rPr>
          <w:rFonts w:ascii="Cambria" w:hAnsi="Cambria" w:cstheme="minorHAnsi"/>
        </w:rPr>
      </w:pPr>
      <w:r w:rsidRPr="00C62E0B">
        <w:rPr>
          <w:rFonts w:ascii="Cambria" w:hAnsi="Cambria" w:cstheme="minorHAnsi"/>
        </w:rPr>
        <w:t xml:space="preserve">Регионът на Близкия изток и Африка традиционно е във фокуса на българската външна политика и въпреки трудностите, породени от COVID-19, през отчетния период бяха положени усилия за </w:t>
      </w:r>
      <w:r w:rsidR="00131211">
        <w:rPr>
          <w:rFonts w:ascii="Cambria" w:hAnsi="Cambria" w:cstheme="minorHAnsi"/>
        </w:rPr>
        <w:t>запазване на интензивния диалог</w:t>
      </w:r>
      <w:r w:rsidRPr="00C62E0B">
        <w:rPr>
          <w:rFonts w:ascii="Cambria" w:hAnsi="Cambria" w:cstheme="minorHAnsi"/>
        </w:rPr>
        <w:t xml:space="preserve"> с голяма част от партньорите.</w:t>
      </w:r>
    </w:p>
    <w:p w14:paraId="72F52029" w14:textId="76857FEA" w:rsidR="001A01C7" w:rsidRDefault="00C62E0B" w:rsidP="001A01C7">
      <w:pPr>
        <w:spacing w:after="0" w:line="240" w:lineRule="auto"/>
        <w:ind w:firstLine="284"/>
        <w:jc w:val="both"/>
        <w:rPr>
          <w:rFonts w:ascii="Cambria" w:hAnsi="Cambria" w:cstheme="minorHAnsi"/>
        </w:rPr>
      </w:pPr>
      <w:r>
        <w:rPr>
          <w:rFonts w:ascii="Cambria" w:hAnsi="Cambria" w:cstheme="minorHAnsi"/>
        </w:rPr>
        <w:t>М</w:t>
      </w:r>
      <w:r w:rsidR="001A01C7" w:rsidRPr="00823FED">
        <w:rPr>
          <w:rFonts w:ascii="Cambria" w:hAnsi="Cambria" w:cstheme="minorHAnsi"/>
        </w:rPr>
        <w:t xml:space="preserve">инистерството </w:t>
      </w:r>
      <w:r>
        <w:rPr>
          <w:rFonts w:ascii="Cambria" w:hAnsi="Cambria" w:cstheme="minorHAnsi"/>
        </w:rPr>
        <w:t xml:space="preserve">продължи да </w:t>
      </w:r>
      <w:r w:rsidR="001A01C7" w:rsidRPr="00823FED">
        <w:rPr>
          <w:rFonts w:ascii="Cambria" w:hAnsi="Cambria" w:cstheme="minorHAnsi"/>
        </w:rPr>
        <w:t>работи за запазване на положителната тенденция на засилване н</w:t>
      </w:r>
      <w:r w:rsidR="00BF091C">
        <w:rPr>
          <w:rFonts w:ascii="Cambria" w:hAnsi="Cambria" w:cstheme="minorHAnsi"/>
        </w:rPr>
        <w:t>а отношенията с държавите от азиатско-тихоокеанския регион</w:t>
      </w:r>
      <w:r w:rsidR="001A01C7" w:rsidRPr="00823FED">
        <w:rPr>
          <w:rFonts w:ascii="Cambria" w:hAnsi="Cambria" w:cstheme="minorHAnsi"/>
        </w:rPr>
        <w:t xml:space="preserve"> в съответствие с нарастващото значение на региона в световната политика и икономика. Положени бяха усилия за укрепване на икономическото сътрудничество и разширяване позициите на българския бизнес в държавите от АТР, включително чрез работа по получаване на разрешение за износ на български хранителни и земеделск</w:t>
      </w:r>
      <w:r w:rsidR="00BF091C">
        <w:rPr>
          <w:rFonts w:ascii="Cambria" w:hAnsi="Cambria" w:cstheme="minorHAnsi"/>
        </w:rPr>
        <w:t>и продукти за азиатските страни.</w:t>
      </w:r>
    </w:p>
    <w:p w14:paraId="6EC80622" w14:textId="77777777" w:rsidR="00C62E0B" w:rsidRDefault="00C62E0B" w:rsidP="00C62E0B">
      <w:pPr>
        <w:spacing w:after="0" w:line="240" w:lineRule="auto"/>
        <w:jc w:val="both"/>
        <w:rPr>
          <w:rFonts w:ascii="Cambria" w:hAnsi="Cambria" w:cstheme="minorHAnsi"/>
        </w:rPr>
      </w:pPr>
    </w:p>
    <w:p w14:paraId="733C0EA5" w14:textId="410BD956" w:rsidR="00C62E0B" w:rsidRPr="00C62E0B" w:rsidRDefault="00C62E0B" w:rsidP="00C62E0B">
      <w:pPr>
        <w:spacing w:after="0" w:line="240" w:lineRule="auto"/>
        <w:jc w:val="both"/>
        <w:rPr>
          <w:rFonts w:ascii="Cambria" w:hAnsi="Cambria" w:cstheme="minorHAnsi"/>
          <w:b/>
          <w:color w:val="548DD4" w:themeColor="text2" w:themeTint="99"/>
        </w:rPr>
      </w:pPr>
      <w:r w:rsidRPr="00C62E0B">
        <w:rPr>
          <w:rFonts w:ascii="Cambria" w:hAnsi="Cambria" w:cstheme="minorHAnsi"/>
          <w:b/>
          <w:color w:val="548DD4" w:themeColor="text2" w:themeTint="99"/>
        </w:rPr>
        <w:t>Дейност на България в глобални и регионални международни организации и други многостранни формати</w:t>
      </w:r>
    </w:p>
    <w:p w14:paraId="7E9D8F4E" w14:textId="77777777" w:rsidR="00C62E0B" w:rsidRPr="00C62E0B" w:rsidRDefault="00C62E0B" w:rsidP="00C62E0B">
      <w:pPr>
        <w:spacing w:after="0" w:line="240" w:lineRule="auto"/>
        <w:jc w:val="both"/>
        <w:rPr>
          <w:rFonts w:ascii="Cambria" w:hAnsi="Cambria" w:cstheme="minorHAnsi"/>
        </w:rPr>
      </w:pPr>
    </w:p>
    <w:p w14:paraId="24BCA011" w14:textId="77777777" w:rsidR="00C62E0B" w:rsidRDefault="00C62E0B" w:rsidP="00C62E0B">
      <w:pPr>
        <w:spacing w:after="0" w:line="240" w:lineRule="auto"/>
        <w:ind w:firstLine="284"/>
        <w:jc w:val="both"/>
        <w:rPr>
          <w:rFonts w:ascii="Cambria" w:hAnsi="Cambria" w:cstheme="minorHAnsi"/>
        </w:rPr>
      </w:pPr>
      <w:r w:rsidRPr="00C62E0B">
        <w:rPr>
          <w:rFonts w:ascii="Cambria" w:hAnsi="Cambria" w:cstheme="minorHAnsi"/>
        </w:rPr>
        <w:t>През отчетния период продължи дейността по осигуряване на подкрепа за</w:t>
      </w:r>
      <w:r>
        <w:rPr>
          <w:rFonts w:ascii="Cambria" w:hAnsi="Cambria" w:cstheme="minorHAnsi"/>
        </w:rPr>
        <w:t>:</w:t>
      </w:r>
      <w:r w:rsidRPr="00C62E0B">
        <w:rPr>
          <w:rFonts w:ascii="Cambria" w:hAnsi="Cambria" w:cstheme="minorHAnsi"/>
        </w:rPr>
        <w:t xml:space="preserve"> кандидатурата на Република България за непостоянен член на Съвета за сигурност</w:t>
      </w:r>
      <w:r>
        <w:rPr>
          <w:rFonts w:ascii="Cambria" w:hAnsi="Cambria" w:cstheme="minorHAnsi"/>
        </w:rPr>
        <w:t xml:space="preserve"> на ООН за периода 2038-2039 г.; </w:t>
      </w:r>
      <w:r w:rsidRPr="00C62E0B">
        <w:rPr>
          <w:rFonts w:ascii="Cambria" w:hAnsi="Cambria" w:cstheme="minorHAnsi"/>
        </w:rPr>
        <w:t>кандидатури на Република България за членство в органи и организации от системата на ООН, в т.ч. кандидатурата на „Български Пощи“ ЕАД за член на Съвета по пощенска експлоатация на Всемирния пощенски съюз (ВПС) за периода 2021-2024 г. и кандидатурата на посланик Петко Драганов за член на Обединеното звено за инспекции на ООН</w:t>
      </w:r>
      <w:r>
        <w:rPr>
          <w:rFonts w:ascii="Cambria" w:hAnsi="Cambria" w:cstheme="minorHAnsi"/>
        </w:rPr>
        <w:t xml:space="preserve"> (JIU) за периода 2026-2030 г.</w:t>
      </w:r>
    </w:p>
    <w:p w14:paraId="52EE780D" w14:textId="3E7B8C28" w:rsidR="00C62E0B" w:rsidRPr="00C62E0B" w:rsidRDefault="00C62E0B" w:rsidP="00C62E0B">
      <w:pPr>
        <w:spacing w:after="0" w:line="240" w:lineRule="auto"/>
        <w:ind w:firstLine="284"/>
        <w:jc w:val="both"/>
        <w:rPr>
          <w:rFonts w:ascii="Cambria" w:hAnsi="Cambria" w:cstheme="minorHAnsi"/>
        </w:rPr>
      </w:pPr>
      <w:r w:rsidRPr="00C62E0B">
        <w:rPr>
          <w:rFonts w:ascii="Cambria" w:hAnsi="Cambria" w:cstheme="minorHAnsi"/>
        </w:rPr>
        <w:t>Успешно завърши кампанията по кандидатурата на България за член на Комисията на ООН по превенция на престъпността и наказателно правосъдие (CCPCJ) за периода 2022-2024 г.</w:t>
      </w:r>
    </w:p>
    <w:p w14:paraId="4DAA36FC" w14:textId="77777777" w:rsidR="00C62E0B" w:rsidRPr="00823FED" w:rsidRDefault="00C62E0B" w:rsidP="001A01C7">
      <w:pPr>
        <w:spacing w:after="0" w:line="240" w:lineRule="auto"/>
        <w:ind w:firstLine="284"/>
        <w:jc w:val="both"/>
        <w:rPr>
          <w:rFonts w:ascii="Cambria" w:hAnsi="Cambria" w:cstheme="minorHAnsi"/>
        </w:rPr>
      </w:pPr>
    </w:p>
    <w:sectPr w:rsidR="00C62E0B" w:rsidRPr="00823FED" w:rsidSect="00911F44">
      <w:footerReference w:type="default" r:id="rId8"/>
      <w:pgSz w:w="11906" w:h="16838"/>
      <w:pgMar w:top="1276" w:right="1417" w:bottom="1417" w:left="1417" w:header="708"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71ADD" w14:textId="77777777" w:rsidR="007F5D4D" w:rsidRDefault="007F5D4D" w:rsidP="00CF54A3">
      <w:pPr>
        <w:spacing w:after="0" w:line="240" w:lineRule="auto"/>
      </w:pPr>
      <w:r>
        <w:separator/>
      </w:r>
    </w:p>
  </w:endnote>
  <w:endnote w:type="continuationSeparator" w:id="0">
    <w:p w14:paraId="2BEBBBB2" w14:textId="77777777" w:rsidR="007F5D4D" w:rsidRDefault="007F5D4D" w:rsidP="00CF5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276105"/>
      <w:docPartObj>
        <w:docPartGallery w:val="Page Numbers (Bottom of Page)"/>
        <w:docPartUnique/>
      </w:docPartObj>
    </w:sdtPr>
    <w:sdtEndPr>
      <w:rPr>
        <w:noProof/>
      </w:rPr>
    </w:sdtEndPr>
    <w:sdtContent>
      <w:p w14:paraId="6BC2D1CB" w14:textId="4DF03118" w:rsidR="00CF54A3" w:rsidRDefault="00CF54A3">
        <w:pPr>
          <w:pStyle w:val="Footer"/>
          <w:jc w:val="right"/>
        </w:pPr>
        <w:r>
          <w:fldChar w:fldCharType="begin"/>
        </w:r>
        <w:r>
          <w:instrText xml:space="preserve"> PAGE   \* MERGEFORMAT </w:instrText>
        </w:r>
        <w:r>
          <w:fldChar w:fldCharType="separate"/>
        </w:r>
        <w:r w:rsidR="00836992">
          <w:rPr>
            <w:noProof/>
          </w:rPr>
          <w:t>9</w:t>
        </w:r>
        <w:r>
          <w:rPr>
            <w:noProof/>
          </w:rPr>
          <w:fldChar w:fldCharType="end"/>
        </w:r>
      </w:p>
    </w:sdtContent>
  </w:sdt>
  <w:p w14:paraId="2BF74B50" w14:textId="77777777" w:rsidR="00CF54A3" w:rsidRDefault="00CF54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04BE0" w14:textId="77777777" w:rsidR="007F5D4D" w:rsidRDefault="007F5D4D" w:rsidP="00CF54A3">
      <w:pPr>
        <w:spacing w:after="0" w:line="240" w:lineRule="auto"/>
      </w:pPr>
      <w:r>
        <w:separator/>
      </w:r>
    </w:p>
  </w:footnote>
  <w:footnote w:type="continuationSeparator" w:id="0">
    <w:p w14:paraId="004DD7CF" w14:textId="77777777" w:rsidR="007F5D4D" w:rsidRDefault="007F5D4D" w:rsidP="00CF54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67691"/>
    <w:multiLevelType w:val="multilevel"/>
    <w:tmpl w:val="E68408AE"/>
    <w:styleLink w:val="List16"/>
    <w:lvl w:ilvl="0">
      <w:start w:val="1"/>
      <w:numFmt w:val="decimal"/>
      <w:lvlText w:val="%1."/>
      <w:lvlJc w:val="left"/>
      <w:rPr>
        <w:position w:val="0"/>
        <w:shd w:val="clear" w:color="auto" w:fill="FEFFFF"/>
      </w:rPr>
    </w:lvl>
    <w:lvl w:ilvl="1">
      <w:start w:val="1"/>
      <w:numFmt w:val="lowerLetter"/>
      <w:lvlText w:val="%2."/>
      <w:lvlJc w:val="left"/>
      <w:rPr>
        <w:position w:val="0"/>
        <w:shd w:val="clear" w:color="auto" w:fill="FEFFFF"/>
      </w:rPr>
    </w:lvl>
    <w:lvl w:ilvl="2">
      <w:start w:val="1"/>
      <w:numFmt w:val="lowerRoman"/>
      <w:lvlText w:val="%3."/>
      <w:lvlJc w:val="left"/>
      <w:rPr>
        <w:position w:val="0"/>
        <w:shd w:val="clear" w:color="auto" w:fill="FEFFFF"/>
      </w:rPr>
    </w:lvl>
    <w:lvl w:ilvl="3">
      <w:start w:val="1"/>
      <w:numFmt w:val="decimal"/>
      <w:lvlText w:val="%4."/>
      <w:lvlJc w:val="left"/>
      <w:rPr>
        <w:position w:val="0"/>
        <w:shd w:val="clear" w:color="auto" w:fill="FEFFFF"/>
      </w:rPr>
    </w:lvl>
    <w:lvl w:ilvl="4">
      <w:start w:val="1"/>
      <w:numFmt w:val="lowerLetter"/>
      <w:lvlText w:val="%5."/>
      <w:lvlJc w:val="left"/>
      <w:rPr>
        <w:position w:val="0"/>
        <w:shd w:val="clear" w:color="auto" w:fill="FEFFFF"/>
      </w:rPr>
    </w:lvl>
    <w:lvl w:ilvl="5">
      <w:start w:val="1"/>
      <w:numFmt w:val="lowerRoman"/>
      <w:lvlText w:val="%6."/>
      <w:lvlJc w:val="left"/>
      <w:rPr>
        <w:position w:val="0"/>
        <w:shd w:val="clear" w:color="auto" w:fill="FEFFFF"/>
      </w:rPr>
    </w:lvl>
    <w:lvl w:ilvl="6">
      <w:start w:val="1"/>
      <w:numFmt w:val="decimal"/>
      <w:lvlText w:val="%7."/>
      <w:lvlJc w:val="left"/>
      <w:rPr>
        <w:position w:val="0"/>
        <w:shd w:val="clear" w:color="auto" w:fill="FEFFFF"/>
      </w:rPr>
    </w:lvl>
    <w:lvl w:ilvl="7">
      <w:start w:val="1"/>
      <w:numFmt w:val="lowerLetter"/>
      <w:lvlText w:val="%8."/>
      <w:lvlJc w:val="left"/>
      <w:rPr>
        <w:position w:val="0"/>
        <w:shd w:val="clear" w:color="auto" w:fill="FEFFFF"/>
      </w:rPr>
    </w:lvl>
    <w:lvl w:ilvl="8">
      <w:start w:val="1"/>
      <w:numFmt w:val="lowerRoman"/>
      <w:lvlText w:val="%9."/>
      <w:lvlJc w:val="left"/>
      <w:rPr>
        <w:position w:val="0"/>
        <w:shd w:val="clear" w:color="auto" w:fill="FEFFFF"/>
      </w:rPr>
    </w:lvl>
  </w:abstractNum>
  <w:abstractNum w:abstractNumId="1" w15:restartNumberingAfterBreak="0">
    <w:nsid w:val="0ED668B9"/>
    <w:multiLevelType w:val="hybridMultilevel"/>
    <w:tmpl w:val="C2A0F4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8940FA5"/>
    <w:multiLevelType w:val="hybridMultilevel"/>
    <w:tmpl w:val="1EC49BDC"/>
    <w:lvl w:ilvl="0" w:tplc="FF200B2E">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1D3D6772"/>
    <w:multiLevelType w:val="hybridMultilevel"/>
    <w:tmpl w:val="3A44A620"/>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1043354"/>
    <w:multiLevelType w:val="hybridMultilevel"/>
    <w:tmpl w:val="D6BA17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5F34B5"/>
    <w:multiLevelType w:val="hybridMultilevel"/>
    <w:tmpl w:val="77800776"/>
    <w:lvl w:ilvl="0" w:tplc="02EEDA76">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5AD6D58"/>
    <w:multiLevelType w:val="hybridMultilevel"/>
    <w:tmpl w:val="2CE6D46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EDE012A"/>
    <w:multiLevelType w:val="multilevel"/>
    <w:tmpl w:val="527E392E"/>
    <w:lvl w:ilvl="0">
      <w:start w:val="1"/>
      <w:numFmt w:val="upperRoman"/>
      <w:lvlText w:val="%1)"/>
      <w:lvlJc w:val="left"/>
      <w:pPr>
        <w:ind w:left="360" w:hanging="360"/>
      </w:pPr>
      <w:rPr>
        <w:rFonts w:hint="default"/>
      </w:rPr>
    </w:lvl>
    <w:lvl w:ilvl="1">
      <w:start w:val="1"/>
      <w:numFmt w:val="decimal"/>
      <w:lvlText w:val="%2)"/>
      <w:lvlJc w:val="left"/>
      <w:pPr>
        <w:ind w:left="1353"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0DF78BB"/>
    <w:multiLevelType w:val="hybridMultilevel"/>
    <w:tmpl w:val="F4E0BAB4"/>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ABC43F9"/>
    <w:multiLevelType w:val="hybridMultilevel"/>
    <w:tmpl w:val="D79E67A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15:restartNumberingAfterBreak="0">
    <w:nsid w:val="50464C70"/>
    <w:multiLevelType w:val="hybridMultilevel"/>
    <w:tmpl w:val="660A1B7A"/>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B854F8D"/>
    <w:multiLevelType w:val="hybridMultilevel"/>
    <w:tmpl w:val="547A2E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4CB079A"/>
    <w:multiLevelType w:val="hybridMultilevel"/>
    <w:tmpl w:val="484CE40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6F3335D"/>
    <w:multiLevelType w:val="hybridMultilevel"/>
    <w:tmpl w:val="429AA376"/>
    <w:lvl w:ilvl="0" w:tplc="BD40FBA2">
      <w:start w:val="1"/>
      <w:numFmt w:val="bullet"/>
      <w:lvlText w:val="-"/>
      <w:lvlJc w:val="left"/>
      <w:pPr>
        <w:ind w:left="1068" w:hanging="360"/>
      </w:pPr>
      <w:rPr>
        <w:rFonts w:ascii="Times New Roman" w:eastAsiaTheme="minorHAns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4" w15:restartNumberingAfterBreak="0">
    <w:nsid w:val="6F740D15"/>
    <w:multiLevelType w:val="hybridMultilevel"/>
    <w:tmpl w:val="8B7EE4DE"/>
    <w:lvl w:ilvl="0" w:tplc="04020001">
      <w:start w:val="1"/>
      <w:numFmt w:val="bullet"/>
      <w:lvlText w:val=""/>
      <w:lvlJc w:val="left"/>
      <w:pPr>
        <w:ind w:left="720" w:hanging="360"/>
      </w:pPr>
      <w:rPr>
        <w:rFonts w:ascii="Symbol" w:hAnsi="Symbol" w:hint="default"/>
        <w:b/>
        <w:color w:val="0070C0"/>
        <w:sz w:val="28"/>
        <w:szCs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BD43ABC"/>
    <w:multiLevelType w:val="hybridMultilevel"/>
    <w:tmpl w:val="F9082B0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num w:numId="1">
    <w:abstractNumId w:val="6"/>
  </w:num>
  <w:num w:numId="2">
    <w:abstractNumId w:val="15"/>
  </w:num>
  <w:num w:numId="3">
    <w:abstractNumId w:val="12"/>
  </w:num>
  <w:num w:numId="4">
    <w:abstractNumId w:val="4"/>
  </w:num>
  <w:num w:numId="5">
    <w:abstractNumId w:val="2"/>
  </w:num>
  <w:num w:numId="6">
    <w:abstractNumId w:val="13"/>
  </w:num>
  <w:num w:numId="7">
    <w:abstractNumId w:val="8"/>
  </w:num>
  <w:num w:numId="8">
    <w:abstractNumId w:val="7"/>
  </w:num>
  <w:num w:numId="9">
    <w:abstractNumId w:val="7"/>
    <w:lvlOverride w:ilvl="0">
      <w:startOverride w:val="1"/>
    </w:lvlOverride>
    <w:lvlOverride w:ilvl="1">
      <w:startOverride w:val="9"/>
    </w:lvlOverride>
  </w:num>
  <w:num w:numId="10">
    <w:abstractNumId w:val="3"/>
  </w:num>
  <w:num w:numId="11">
    <w:abstractNumId w:val="9"/>
  </w:num>
  <w:num w:numId="12">
    <w:abstractNumId w:val="10"/>
  </w:num>
  <w:num w:numId="13">
    <w:abstractNumId w:val="5"/>
  </w:num>
  <w:num w:numId="14">
    <w:abstractNumId w:val="1"/>
  </w:num>
  <w:num w:numId="15">
    <w:abstractNumId w:val="0"/>
  </w:num>
  <w:num w:numId="16">
    <w:abstractNumId w:val="14"/>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182"/>
    <w:rsid w:val="00011B30"/>
    <w:rsid w:val="00020ECE"/>
    <w:rsid w:val="00022267"/>
    <w:rsid w:val="00044170"/>
    <w:rsid w:val="00045F0D"/>
    <w:rsid w:val="000612CC"/>
    <w:rsid w:val="00063B03"/>
    <w:rsid w:val="000662FB"/>
    <w:rsid w:val="00067F99"/>
    <w:rsid w:val="000878A1"/>
    <w:rsid w:val="00091C5B"/>
    <w:rsid w:val="000929B7"/>
    <w:rsid w:val="00092FF7"/>
    <w:rsid w:val="00094B0D"/>
    <w:rsid w:val="00095455"/>
    <w:rsid w:val="000A0E83"/>
    <w:rsid w:val="000A695A"/>
    <w:rsid w:val="000A6DB4"/>
    <w:rsid w:val="000B6928"/>
    <w:rsid w:val="000C1FCF"/>
    <w:rsid w:val="000C65E7"/>
    <w:rsid w:val="000C6685"/>
    <w:rsid w:val="000C73E2"/>
    <w:rsid w:val="000E557D"/>
    <w:rsid w:val="000F37EB"/>
    <w:rsid w:val="001000BF"/>
    <w:rsid w:val="00101CAD"/>
    <w:rsid w:val="0010575E"/>
    <w:rsid w:val="00105BC3"/>
    <w:rsid w:val="001102D0"/>
    <w:rsid w:val="00117E40"/>
    <w:rsid w:val="001210D8"/>
    <w:rsid w:val="001220A2"/>
    <w:rsid w:val="001221E4"/>
    <w:rsid w:val="00124D91"/>
    <w:rsid w:val="00125355"/>
    <w:rsid w:val="00131211"/>
    <w:rsid w:val="0013362F"/>
    <w:rsid w:val="00157D1C"/>
    <w:rsid w:val="0016771B"/>
    <w:rsid w:val="001774D3"/>
    <w:rsid w:val="00191852"/>
    <w:rsid w:val="001A01C7"/>
    <w:rsid w:val="001A02B6"/>
    <w:rsid w:val="001A6EE1"/>
    <w:rsid w:val="001A7F79"/>
    <w:rsid w:val="001B3EB4"/>
    <w:rsid w:val="001B68B2"/>
    <w:rsid w:val="001B6F21"/>
    <w:rsid w:val="001C4D4E"/>
    <w:rsid w:val="001F3510"/>
    <w:rsid w:val="00202473"/>
    <w:rsid w:val="002058F9"/>
    <w:rsid w:val="0021141E"/>
    <w:rsid w:val="00212C89"/>
    <w:rsid w:val="0021648C"/>
    <w:rsid w:val="00223EEC"/>
    <w:rsid w:val="00226583"/>
    <w:rsid w:val="00230093"/>
    <w:rsid w:val="00235BF0"/>
    <w:rsid w:val="00244AB7"/>
    <w:rsid w:val="002475FE"/>
    <w:rsid w:val="00251072"/>
    <w:rsid w:val="00251209"/>
    <w:rsid w:val="00257B22"/>
    <w:rsid w:val="00281262"/>
    <w:rsid w:val="002814EC"/>
    <w:rsid w:val="002933BE"/>
    <w:rsid w:val="002A35CC"/>
    <w:rsid w:val="002C0885"/>
    <w:rsid w:val="002C3FA3"/>
    <w:rsid w:val="002D1419"/>
    <w:rsid w:val="002E363C"/>
    <w:rsid w:val="002F17B0"/>
    <w:rsid w:val="002F752F"/>
    <w:rsid w:val="0030176A"/>
    <w:rsid w:val="0030337C"/>
    <w:rsid w:val="00310EFB"/>
    <w:rsid w:val="00313CC3"/>
    <w:rsid w:val="00315D42"/>
    <w:rsid w:val="00320AF9"/>
    <w:rsid w:val="00324A71"/>
    <w:rsid w:val="0032516B"/>
    <w:rsid w:val="00355582"/>
    <w:rsid w:val="00355FCC"/>
    <w:rsid w:val="0037006C"/>
    <w:rsid w:val="00385656"/>
    <w:rsid w:val="00395344"/>
    <w:rsid w:val="003A3523"/>
    <w:rsid w:val="003B1A85"/>
    <w:rsid w:val="003D3327"/>
    <w:rsid w:val="003D463A"/>
    <w:rsid w:val="003E247C"/>
    <w:rsid w:val="00400229"/>
    <w:rsid w:val="00413717"/>
    <w:rsid w:val="004144B2"/>
    <w:rsid w:val="00424432"/>
    <w:rsid w:val="00430152"/>
    <w:rsid w:val="004403C2"/>
    <w:rsid w:val="004452D3"/>
    <w:rsid w:val="004571FD"/>
    <w:rsid w:val="00460D4D"/>
    <w:rsid w:val="004714B7"/>
    <w:rsid w:val="004718D8"/>
    <w:rsid w:val="0048618A"/>
    <w:rsid w:val="004861F5"/>
    <w:rsid w:val="00486511"/>
    <w:rsid w:val="00497493"/>
    <w:rsid w:val="004A4590"/>
    <w:rsid w:val="004A4890"/>
    <w:rsid w:val="004B015A"/>
    <w:rsid w:val="004B4580"/>
    <w:rsid w:val="004C2DE9"/>
    <w:rsid w:val="004C4EF3"/>
    <w:rsid w:val="004C5B58"/>
    <w:rsid w:val="004C5BE9"/>
    <w:rsid w:val="004E6549"/>
    <w:rsid w:val="004E7C5E"/>
    <w:rsid w:val="004F1CEF"/>
    <w:rsid w:val="0050131E"/>
    <w:rsid w:val="00502651"/>
    <w:rsid w:val="0051757E"/>
    <w:rsid w:val="00524280"/>
    <w:rsid w:val="0053641E"/>
    <w:rsid w:val="00537850"/>
    <w:rsid w:val="00546319"/>
    <w:rsid w:val="005678F7"/>
    <w:rsid w:val="0058045B"/>
    <w:rsid w:val="00582B51"/>
    <w:rsid w:val="00585129"/>
    <w:rsid w:val="005915E5"/>
    <w:rsid w:val="005A20B8"/>
    <w:rsid w:val="005A7950"/>
    <w:rsid w:val="005B16FE"/>
    <w:rsid w:val="005D33A0"/>
    <w:rsid w:val="005E5099"/>
    <w:rsid w:val="005E672A"/>
    <w:rsid w:val="005E7B3C"/>
    <w:rsid w:val="005F5D96"/>
    <w:rsid w:val="00601DF8"/>
    <w:rsid w:val="006163F5"/>
    <w:rsid w:val="00621677"/>
    <w:rsid w:val="00623381"/>
    <w:rsid w:val="00627931"/>
    <w:rsid w:val="00636F1F"/>
    <w:rsid w:val="00655DF5"/>
    <w:rsid w:val="00660AED"/>
    <w:rsid w:val="0066565F"/>
    <w:rsid w:val="006736E4"/>
    <w:rsid w:val="00677D82"/>
    <w:rsid w:val="006A408D"/>
    <w:rsid w:val="006C1940"/>
    <w:rsid w:val="006C4334"/>
    <w:rsid w:val="006D015E"/>
    <w:rsid w:val="006E6336"/>
    <w:rsid w:val="006E6BC8"/>
    <w:rsid w:val="006F09B6"/>
    <w:rsid w:val="006F0D1A"/>
    <w:rsid w:val="006F29B0"/>
    <w:rsid w:val="006F70FF"/>
    <w:rsid w:val="00700CCF"/>
    <w:rsid w:val="0070223E"/>
    <w:rsid w:val="00703084"/>
    <w:rsid w:val="00703B68"/>
    <w:rsid w:val="00705F9D"/>
    <w:rsid w:val="00714758"/>
    <w:rsid w:val="00716035"/>
    <w:rsid w:val="00721A70"/>
    <w:rsid w:val="0073242F"/>
    <w:rsid w:val="00733BDA"/>
    <w:rsid w:val="00737E42"/>
    <w:rsid w:val="007448F5"/>
    <w:rsid w:val="0075186B"/>
    <w:rsid w:val="007537B3"/>
    <w:rsid w:val="00756B0A"/>
    <w:rsid w:val="00760BC2"/>
    <w:rsid w:val="00760E36"/>
    <w:rsid w:val="00766A55"/>
    <w:rsid w:val="007740D7"/>
    <w:rsid w:val="00785182"/>
    <w:rsid w:val="0079620E"/>
    <w:rsid w:val="007B02D4"/>
    <w:rsid w:val="007B0E9E"/>
    <w:rsid w:val="007B25B8"/>
    <w:rsid w:val="007B346C"/>
    <w:rsid w:val="007B6528"/>
    <w:rsid w:val="007C628B"/>
    <w:rsid w:val="007D5DEC"/>
    <w:rsid w:val="007D68D0"/>
    <w:rsid w:val="007F5D4D"/>
    <w:rsid w:val="008114F1"/>
    <w:rsid w:val="00812B10"/>
    <w:rsid w:val="008132AF"/>
    <w:rsid w:val="00816F4D"/>
    <w:rsid w:val="00823FED"/>
    <w:rsid w:val="00834997"/>
    <w:rsid w:val="00836992"/>
    <w:rsid w:val="00846246"/>
    <w:rsid w:val="00850EBA"/>
    <w:rsid w:val="00852292"/>
    <w:rsid w:val="00880B7B"/>
    <w:rsid w:val="00885450"/>
    <w:rsid w:val="00892829"/>
    <w:rsid w:val="008928AF"/>
    <w:rsid w:val="00893030"/>
    <w:rsid w:val="008A029A"/>
    <w:rsid w:val="008A2304"/>
    <w:rsid w:val="008B15B4"/>
    <w:rsid w:val="008B3BAB"/>
    <w:rsid w:val="008B4551"/>
    <w:rsid w:val="008B4CD2"/>
    <w:rsid w:val="008B4F81"/>
    <w:rsid w:val="008B74F5"/>
    <w:rsid w:val="008C16C3"/>
    <w:rsid w:val="008D2C3B"/>
    <w:rsid w:val="008D4F9D"/>
    <w:rsid w:val="008F199A"/>
    <w:rsid w:val="009026C4"/>
    <w:rsid w:val="009032DF"/>
    <w:rsid w:val="00904193"/>
    <w:rsid w:val="00905135"/>
    <w:rsid w:val="00911F44"/>
    <w:rsid w:val="00914492"/>
    <w:rsid w:val="009145D6"/>
    <w:rsid w:val="00917D2B"/>
    <w:rsid w:val="009246B0"/>
    <w:rsid w:val="00927519"/>
    <w:rsid w:val="00927604"/>
    <w:rsid w:val="00951346"/>
    <w:rsid w:val="00962D16"/>
    <w:rsid w:val="00971D2A"/>
    <w:rsid w:val="009721AC"/>
    <w:rsid w:val="009740C3"/>
    <w:rsid w:val="009754CB"/>
    <w:rsid w:val="00991919"/>
    <w:rsid w:val="0099359E"/>
    <w:rsid w:val="009A7122"/>
    <w:rsid w:val="009D02D9"/>
    <w:rsid w:val="009D0620"/>
    <w:rsid w:val="009E05DB"/>
    <w:rsid w:val="009E45A5"/>
    <w:rsid w:val="009E4637"/>
    <w:rsid w:val="00A04A9E"/>
    <w:rsid w:val="00A11BE2"/>
    <w:rsid w:val="00A13609"/>
    <w:rsid w:val="00A21989"/>
    <w:rsid w:val="00A23258"/>
    <w:rsid w:val="00A32220"/>
    <w:rsid w:val="00A50D68"/>
    <w:rsid w:val="00A51C76"/>
    <w:rsid w:val="00A5210F"/>
    <w:rsid w:val="00A60AA2"/>
    <w:rsid w:val="00A73BCB"/>
    <w:rsid w:val="00A81DD4"/>
    <w:rsid w:val="00A91ABA"/>
    <w:rsid w:val="00AB399C"/>
    <w:rsid w:val="00AB51FD"/>
    <w:rsid w:val="00AB5328"/>
    <w:rsid w:val="00AC2A2D"/>
    <w:rsid w:val="00AC6BFD"/>
    <w:rsid w:val="00AD1A7E"/>
    <w:rsid w:val="00AD6F15"/>
    <w:rsid w:val="00AE0B4B"/>
    <w:rsid w:val="00B01068"/>
    <w:rsid w:val="00B01AFD"/>
    <w:rsid w:val="00B041E8"/>
    <w:rsid w:val="00B10B1B"/>
    <w:rsid w:val="00B10BB8"/>
    <w:rsid w:val="00B32D02"/>
    <w:rsid w:val="00B4524E"/>
    <w:rsid w:val="00B55D0F"/>
    <w:rsid w:val="00B707A0"/>
    <w:rsid w:val="00B740F1"/>
    <w:rsid w:val="00B755E2"/>
    <w:rsid w:val="00B76FD3"/>
    <w:rsid w:val="00B819FF"/>
    <w:rsid w:val="00B826C0"/>
    <w:rsid w:val="00B828BD"/>
    <w:rsid w:val="00B85CD4"/>
    <w:rsid w:val="00B96CC1"/>
    <w:rsid w:val="00BA0712"/>
    <w:rsid w:val="00BB1312"/>
    <w:rsid w:val="00BB5A29"/>
    <w:rsid w:val="00BC3477"/>
    <w:rsid w:val="00BD6B10"/>
    <w:rsid w:val="00BD708C"/>
    <w:rsid w:val="00BD7701"/>
    <w:rsid w:val="00BD78D3"/>
    <w:rsid w:val="00BE69BC"/>
    <w:rsid w:val="00BF091C"/>
    <w:rsid w:val="00BF28B6"/>
    <w:rsid w:val="00BF50A1"/>
    <w:rsid w:val="00BF64B3"/>
    <w:rsid w:val="00C031A7"/>
    <w:rsid w:val="00C05180"/>
    <w:rsid w:val="00C07BA7"/>
    <w:rsid w:val="00C131A1"/>
    <w:rsid w:val="00C147D7"/>
    <w:rsid w:val="00C206DF"/>
    <w:rsid w:val="00C2390B"/>
    <w:rsid w:val="00C264F0"/>
    <w:rsid w:val="00C2657E"/>
    <w:rsid w:val="00C32C91"/>
    <w:rsid w:val="00C34D89"/>
    <w:rsid w:val="00C4743A"/>
    <w:rsid w:val="00C57C51"/>
    <w:rsid w:val="00C61295"/>
    <w:rsid w:val="00C6179F"/>
    <w:rsid w:val="00C62E0B"/>
    <w:rsid w:val="00C73B24"/>
    <w:rsid w:val="00C901D0"/>
    <w:rsid w:val="00CA2B5A"/>
    <w:rsid w:val="00CA3EA0"/>
    <w:rsid w:val="00CB17AA"/>
    <w:rsid w:val="00CB2416"/>
    <w:rsid w:val="00CD07DE"/>
    <w:rsid w:val="00CD0FD0"/>
    <w:rsid w:val="00CD313A"/>
    <w:rsid w:val="00CD3E8F"/>
    <w:rsid w:val="00CE5267"/>
    <w:rsid w:val="00CE528E"/>
    <w:rsid w:val="00CF376F"/>
    <w:rsid w:val="00CF3CCC"/>
    <w:rsid w:val="00CF54A3"/>
    <w:rsid w:val="00CF6B20"/>
    <w:rsid w:val="00CF7AD9"/>
    <w:rsid w:val="00D018B0"/>
    <w:rsid w:val="00D03186"/>
    <w:rsid w:val="00D10DC0"/>
    <w:rsid w:val="00D162A1"/>
    <w:rsid w:val="00D346BA"/>
    <w:rsid w:val="00D51AEB"/>
    <w:rsid w:val="00D545AA"/>
    <w:rsid w:val="00D61887"/>
    <w:rsid w:val="00D7312D"/>
    <w:rsid w:val="00D83368"/>
    <w:rsid w:val="00D905CC"/>
    <w:rsid w:val="00D97AE7"/>
    <w:rsid w:val="00DA2C34"/>
    <w:rsid w:val="00DA3C5E"/>
    <w:rsid w:val="00DA7D34"/>
    <w:rsid w:val="00DB0CA6"/>
    <w:rsid w:val="00DB30DF"/>
    <w:rsid w:val="00DB3BDE"/>
    <w:rsid w:val="00DB7021"/>
    <w:rsid w:val="00DB7E31"/>
    <w:rsid w:val="00DC02F3"/>
    <w:rsid w:val="00DC637C"/>
    <w:rsid w:val="00DD0946"/>
    <w:rsid w:val="00DD0D8E"/>
    <w:rsid w:val="00DD2ABE"/>
    <w:rsid w:val="00DD5F56"/>
    <w:rsid w:val="00DE2D45"/>
    <w:rsid w:val="00E0193C"/>
    <w:rsid w:val="00E04796"/>
    <w:rsid w:val="00E06CD3"/>
    <w:rsid w:val="00E11C09"/>
    <w:rsid w:val="00E25801"/>
    <w:rsid w:val="00E27C8F"/>
    <w:rsid w:val="00E319B2"/>
    <w:rsid w:val="00E32E50"/>
    <w:rsid w:val="00E42F90"/>
    <w:rsid w:val="00E52DA2"/>
    <w:rsid w:val="00E554DB"/>
    <w:rsid w:val="00E67187"/>
    <w:rsid w:val="00E73CB1"/>
    <w:rsid w:val="00EA2A29"/>
    <w:rsid w:val="00EB3601"/>
    <w:rsid w:val="00EC066D"/>
    <w:rsid w:val="00EC7279"/>
    <w:rsid w:val="00ED6003"/>
    <w:rsid w:val="00EE14A9"/>
    <w:rsid w:val="00EE2A26"/>
    <w:rsid w:val="00EE32B5"/>
    <w:rsid w:val="00EE540D"/>
    <w:rsid w:val="00EE63D7"/>
    <w:rsid w:val="00EF0F03"/>
    <w:rsid w:val="00F12EF0"/>
    <w:rsid w:val="00F16FE2"/>
    <w:rsid w:val="00F17B9A"/>
    <w:rsid w:val="00F22561"/>
    <w:rsid w:val="00F22D0F"/>
    <w:rsid w:val="00F37763"/>
    <w:rsid w:val="00F60FBE"/>
    <w:rsid w:val="00F67809"/>
    <w:rsid w:val="00F81CAC"/>
    <w:rsid w:val="00FA662D"/>
    <w:rsid w:val="00FA6B7F"/>
    <w:rsid w:val="00FB60AD"/>
    <w:rsid w:val="00FC2875"/>
    <w:rsid w:val="00FD63CB"/>
    <w:rsid w:val="00FE1350"/>
    <w:rsid w:val="00FF282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E0E522"/>
  <w15:docId w15:val="{AAD36A4E-40D6-4CF9-8A5A-3BB274572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30093"/>
    <w:pPr>
      <w:keepNext/>
      <w:spacing w:after="0" w:line="240" w:lineRule="auto"/>
      <w:ind w:firstLine="720"/>
      <w:jc w:val="both"/>
      <w:outlineLvl w:val="0"/>
    </w:pPr>
    <w:rPr>
      <w:rFonts w:ascii="Times New Roman" w:eastAsia="Times New Roman" w:hAnsi="Times New Roman" w:cs="Times New Roman"/>
      <w:b/>
      <w:caps/>
      <w:sz w:val="24"/>
      <w:szCs w:val="20"/>
      <w:lang w:eastAsia="bg-BG"/>
    </w:rPr>
  </w:style>
  <w:style w:type="paragraph" w:styleId="Heading2">
    <w:name w:val="heading 2"/>
    <w:basedOn w:val="Normal"/>
    <w:next w:val="Normal"/>
    <w:link w:val="Heading2Char"/>
    <w:uiPriority w:val="9"/>
    <w:unhideWhenUsed/>
    <w:qFormat/>
    <w:rsid w:val="007B346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List Paragraph11,Bulleted Para,NFP GP Bulleted List,FooterText,numbered,Paragraphe de liste1,Bulletr List Paragraph,列出段落,列出段落1,List Paragraph2,List Paragraph21,Listeafsnit1,Parágrafo da Lista1,リスト段落1,L,CV t"/>
    <w:basedOn w:val="Normal"/>
    <w:link w:val="ListParagraphChar"/>
    <w:uiPriority w:val="34"/>
    <w:qFormat/>
    <w:rsid w:val="00785182"/>
    <w:pPr>
      <w:ind w:left="720"/>
      <w:contextualSpacing/>
    </w:pPr>
  </w:style>
  <w:style w:type="character" w:customStyle="1" w:styleId="Heading1Char">
    <w:name w:val="Heading 1 Char"/>
    <w:basedOn w:val="DefaultParagraphFont"/>
    <w:link w:val="Heading1"/>
    <w:rsid w:val="00230093"/>
    <w:rPr>
      <w:rFonts w:ascii="Times New Roman" w:eastAsia="Times New Roman" w:hAnsi="Times New Roman" w:cs="Times New Roman"/>
      <w:b/>
      <w:caps/>
      <w:sz w:val="24"/>
      <w:szCs w:val="20"/>
      <w:lang w:eastAsia="bg-BG"/>
    </w:rPr>
  </w:style>
  <w:style w:type="character" w:customStyle="1" w:styleId="ListParagraphChar">
    <w:name w:val="List Paragraph Char"/>
    <w:aliases w:val="List Paragraph1 Char,Recommendation Char,List Paragraph11 Char,Bulleted Para Char,NFP GP Bulleted List Char,FooterText Char,numbered Char,Paragraphe de liste1 Char,Bulletr List Paragraph Char,列出段落 Char,列出段落1 Char,List Paragraph2 Char"/>
    <w:basedOn w:val="DefaultParagraphFont"/>
    <w:link w:val="ListParagraph"/>
    <w:uiPriority w:val="34"/>
    <w:qFormat/>
    <w:rsid w:val="00A32220"/>
  </w:style>
  <w:style w:type="paragraph" w:styleId="BalloonText">
    <w:name w:val="Balloon Text"/>
    <w:basedOn w:val="Normal"/>
    <w:link w:val="BalloonTextChar"/>
    <w:uiPriority w:val="99"/>
    <w:semiHidden/>
    <w:unhideWhenUsed/>
    <w:rsid w:val="004C2D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2DE9"/>
    <w:rPr>
      <w:rFonts w:ascii="Segoe UI" w:hAnsi="Segoe UI" w:cs="Segoe UI"/>
      <w:sz w:val="18"/>
      <w:szCs w:val="18"/>
    </w:rPr>
  </w:style>
  <w:style w:type="paragraph" w:styleId="Header">
    <w:name w:val="header"/>
    <w:basedOn w:val="Normal"/>
    <w:link w:val="HeaderChar"/>
    <w:uiPriority w:val="99"/>
    <w:unhideWhenUsed/>
    <w:rsid w:val="00CF54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54A3"/>
  </w:style>
  <w:style w:type="paragraph" w:styleId="Footer">
    <w:name w:val="footer"/>
    <w:basedOn w:val="Normal"/>
    <w:link w:val="FooterChar"/>
    <w:uiPriority w:val="99"/>
    <w:unhideWhenUsed/>
    <w:rsid w:val="00CF54A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54A3"/>
  </w:style>
  <w:style w:type="character" w:styleId="CommentReference">
    <w:name w:val="annotation reference"/>
    <w:basedOn w:val="DefaultParagraphFont"/>
    <w:uiPriority w:val="99"/>
    <w:semiHidden/>
    <w:unhideWhenUsed/>
    <w:rsid w:val="00EE63D7"/>
    <w:rPr>
      <w:sz w:val="16"/>
      <w:szCs w:val="16"/>
    </w:rPr>
  </w:style>
  <w:style w:type="paragraph" w:styleId="CommentText">
    <w:name w:val="annotation text"/>
    <w:basedOn w:val="Normal"/>
    <w:link w:val="CommentTextChar"/>
    <w:uiPriority w:val="99"/>
    <w:semiHidden/>
    <w:unhideWhenUsed/>
    <w:rsid w:val="00EE63D7"/>
    <w:pPr>
      <w:spacing w:line="240" w:lineRule="auto"/>
    </w:pPr>
    <w:rPr>
      <w:sz w:val="20"/>
      <w:szCs w:val="20"/>
    </w:rPr>
  </w:style>
  <w:style w:type="character" w:customStyle="1" w:styleId="CommentTextChar">
    <w:name w:val="Comment Text Char"/>
    <w:basedOn w:val="DefaultParagraphFont"/>
    <w:link w:val="CommentText"/>
    <w:uiPriority w:val="99"/>
    <w:semiHidden/>
    <w:rsid w:val="00EE63D7"/>
    <w:rPr>
      <w:sz w:val="20"/>
      <w:szCs w:val="20"/>
    </w:rPr>
  </w:style>
  <w:style w:type="paragraph" w:styleId="CommentSubject">
    <w:name w:val="annotation subject"/>
    <w:basedOn w:val="CommentText"/>
    <w:next w:val="CommentText"/>
    <w:link w:val="CommentSubjectChar"/>
    <w:uiPriority w:val="99"/>
    <w:semiHidden/>
    <w:unhideWhenUsed/>
    <w:rsid w:val="00EE63D7"/>
    <w:rPr>
      <w:b/>
      <w:bCs/>
    </w:rPr>
  </w:style>
  <w:style w:type="character" w:customStyle="1" w:styleId="CommentSubjectChar">
    <w:name w:val="Comment Subject Char"/>
    <w:basedOn w:val="CommentTextChar"/>
    <w:link w:val="CommentSubject"/>
    <w:uiPriority w:val="99"/>
    <w:semiHidden/>
    <w:rsid w:val="00EE63D7"/>
    <w:rPr>
      <w:b/>
      <w:bCs/>
      <w:sz w:val="20"/>
      <w:szCs w:val="20"/>
    </w:rPr>
  </w:style>
  <w:style w:type="paragraph" w:styleId="Revision">
    <w:name w:val="Revision"/>
    <w:hidden/>
    <w:uiPriority w:val="99"/>
    <w:semiHidden/>
    <w:rsid w:val="00DB7E31"/>
    <w:pPr>
      <w:spacing w:after="0" w:line="240" w:lineRule="auto"/>
    </w:pPr>
  </w:style>
  <w:style w:type="table" w:styleId="TableGrid">
    <w:name w:val="Table Grid"/>
    <w:basedOn w:val="TableNormal"/>
    <w:uiPriority w:val="59"/>
    <w:rsid w:val="00812B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link w:val="textChar"/>
    <w:qFormat/>
    <w:rsid w:val="007B346C"/>
    <w:pPr>
      <w:spacing w:after="120" w:line="240" w:lineRule="auto"/>
      <w:ind w:firstLine="708"/>
      <w:jc w:val="both"/>
    </w:pPr>
    <w:rPr>
      <w:rFonts w:ascii="Times New Roman" w:eastAsia="Times New Roman" w:hAnsi="Times New Roman" w:cs="Times New Roman"/>
      <w:sz w:val="24"/>
      <w:szCs w:val="24"/>
      <w:lang w:val="ru-RU"/>
    </w:rPr>
  </w:style>
  <w:style w:type="character" w:customStyle="1" w:styleId="textChar">
    <w:name w:val="text Char"/>
    <w:link w:val="text"/>
    <w:rsid w:val="007B346C"/>
    <w:rPr>
      <w:rFonts w:ascii="Times New Roman" w:eastAsia="Times New Roman" w:hAnsi="Times New Roman" w:cs="Times New Roman"/>
      <w:sz w:val="24"/>
      <w:szCs w:val="24"/>
      <w:lang w:val="ru-RU"/>
    </w:rPr>
  </w:style>
  <w:style w:type="character" w:customStyle="1" w:styleId="Heading2Char">
    <w:name w:val="Heading 2 Char"/>
    <w:basedOn w:val="DefaultParagraphFont"/>
    <w:link w:val="Heading2"/>
    <w:uiPriority w:val="9"/>
    <w:semiHidden/>
    <w:rsid w:val="007B346C"/>
    <w:rPr>
      <w:rFonts w:asciiTheme="majorHAnsi" w:eastAsiaTheme="majorEastAsia" w:hAnsiTheme="majorHAnsi" w:cstheme="majorBidi"/>
      <w:color w:val="365F91" w:themeColor="accent1" w:themeShade="BF"/>
      <w:sz w:val="26"/>
      <w:szCs w:val="26"/>
    </w:rPr>
  </w:style>
  <w:style w:type="paragraph" w:customStyle="1" w:styleId="Body">
    <w:name w:val="Body"/>
    <w:rsid w:val="007D68D0"/>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eastAsia="bg-BG"/>
    </w:rPr>
  </w:style>
  <w:style w:type="paragraph" w:styleId="NoSpacing">
    <w:name w:val="No Spacing"/>
    <w:uiPriority w:val="1"/>
    <w:qFormat/>
    <w:rsid w:val="00885450"/>
    <w:pPr>
      <w:spacing w:after="0" w:line="240" w:lineRule="auto"/>
    </w:pPr>
  </w:style>
  <w:style w:type="numbering" w:customStyle="1" w:styleId="List16">
    <w:name w:val="List 16"/>
    <w:basedOn w:val="NoList"/>
    <w:rsid w:val="00DA3C5E"/>
    <w:pPr>
      <w:numPr>
        <w:numId w:val="15"/>
      </w:numPr>
    </w:pPr>
  </w:style>
  <w:style w:type="paragraph" w:styleId="TOC1">
    <w:name w:val="toc 1"/>
    <w:basedOn w:val="Normal"/>
    <w:next w:val="Normal"/>
    <w:autoRedefine/>
    <w:uiPriority w:val="39"/>
    <w:semiHidden/>
    <w:unhideWhenUsed/>
    <w:rsid w:val="001A01C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640843">
      <w:bodyDiv w:val="1"/>
      <w:marLeft w:val="0"/>
      <w:marRight w:val="0"/>
      <w:marTop w:val="0"/>
      <w:marBottom w:val="0"/>
      <w:divBdr>
        <w:top w:val="none" w:sz="0" w:space="0" w:color="auto"/>
        <w:left w:val="none" w:sz="0" w:space="0" w:color="auto"/>
        <w:bottom w:val="none" w:sz="0" w:space="0" w:color="auto"/>
        <w:right w:val="none" w:sz="0" w:space="0" w:color="auto"/>
      </w:divBdr>
    </w:div>
    <w:div w:id="822509052">
      <w:bodyDiv w:val="1"/>
      <w:marLeft w:val="0"/>
      <w:marRight w:val="0"/>
      <w:marTop w:val="0"/>
      <w:marBottom w:val="0"/>
      <w:divBdr>
        <w:top w:val="none" w:sz="0" w:space="0" w:color="auto"/>
        <w:left w:val="none" w:sz="0" w:space="0" w:color="auto"/>
        <w:bottom w:val="none" w:sz="0" w:space="0" w:color="auto"/>
        <w:right w:val="none" w:sz="0" w:space="0" w:color="auto"/>
      </w:divBdr>
    </w:div>
    <w:div w:id="122043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0C7A2-4564-4DBA-94A2-28CDB9CC0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1467</TotalTime>
  <Pages>9</Pages>
  <Words>3912</Words>
  <Characters>22304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Емил Нургалиев</dc:creator>
  <cp:lastModifiedBy>Iskra Grigorova</cp:lastModifiedBy>
  <cp:revision>72</cp:revision>
  <cp:lastPrinted>2018-10-10T12:52:00Z</cp:lastPrinted>
  <dcterms:created xsi:type="dcterms:W3CDTF">2021-08-25T11:16:00Z</dcterms:created>
  <dcterms:modified xsi:type="dcterms:W3CDTF">2021-09-10T17:28:00Z</dcterms:modified>
</cp:coreProperties>
</file>