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B15" w:rsidRPr="00C54F73" w:rsidRDefault="00A51B15" w:rsidP="00205EDA">
      <w:pPr>
        <w:tabs>
          <w:tab w:val="left" w:pos="0"/>
        </w:tabs>
        <w:jc w:val="center"/>
        <w:rPr>
          <w:rFonts w:ascii="Cambria" w:hAnsi="Cambria"/>
          <w:b/>
          <w:bCs/>
          <w:sz w:val="22"/>
          <w:szCs w:val="22"/>
          <w:lang w:eastAsia="ar-SA"/>
        </w:rPr>
      </w:pPr>
      <w:bookmarkStart w:id="0" w:name="_Toc4496054"/>
      <w:bookmarkStart w:id="1" w:name="HeaderIII"/>
      <w:r w:rsidRPr="00C54F73">
        <w:rPr>
          <w:rFonts w:ascii="Cambria" w:hAnsi="Cambria"/>
          <w:b/>
          <w:bCs/>
          <w:sz w:val="22"/>
          <w:szCs w:val="22"/>
          <w:lang w:eastAsia="ar-SA"/>
        </w:rPr>
        <w:t>ОТЧЕТ</w:t>
      </w:r>
    </w:p>
    <w:p w:rsidR="00A51B15" w:rsidRDefault="00A51B15" w:rsidP="00205EDA">
      <w:pPr>
        <w:tabs>
          <w:tab w:val="left" w:pos="0"/>
        </w:tabs>
        <w:jc w:val="center"/>
        <w:rPr>
          <w:rFonts w:ascii="Cambria" w:hAnsi="Cambria"/>
          <w:b/>
          <w:bCs/>
          <w:sz w:val="22"/>
          <w:szCs w:val="22"/>
          <w:lang w:val="en-US" w:eastAsia="ar-SA"/>
        </w:rPr>
      </w:pPr>
      <w:r w:rsidRPr="00C54F73">
        <w:rPr>
          <w:rFonts w:ascii="Cambria" w:hAnsi="Cambria"/>
          <w:b/>
          <w:bCs/>
          <w:sz w:val="22"/>
          <w:szCs w:val="22"/>
          <w:lang w:eastAsia="ar-SA"/>
        </w:rPr>
        <w:t xml:space="preserve">за степента на изпълнение на утвърдените политики и програми на Министерството на външните работи за </w:t>
      </w:r>
      <w:r w:rsidR="00E637D2">
        <w:rPr>
          <w:rFonts w:ascii="Cambria" w:hAnsi="Cambria"/>
          <w:b/>
          <w:bCs/>
          <w:sz w:val="22"/>
          <w:szCs w:val="22"/>
          <w:lang w:eastAsia="ar-SA"/>
        </w:rPr>
        <w:t xml:space="preserve">първото полугодие на </w:t>
      </w:r>
      <w:r w:rsidRPr="00C54F73">
        <w:rPr>
          <w:rFonts w:ascii="Cambria" w:hAnsi="Cambria"/>
          <w:b/>
          <w:bCs/>
          <w:sz w:val="22"/>
          <w:szCs w:val="22"/>
          <w:lang w:eastAsia="ar-SA"/>
        </w:rPr>
        <w:t>20</w:t>
      </w:r>
      <w:r w:rsidR="00BF520C" w:rsidRPr="00C54F73">
        <w:rPr>
          <w:rFonts w:ascii="Cambria" w:hAnsi="Cambria"/>
          <w:b/>
          <w:bCs/>
          <w:sz w:val="22"/>
          <w:szCs w:val="22"/>
          <w:lang w:val="en-US" w:eastAsia="ar-SA"/>
        </w:rPr>
        <w:t>2</w:t>
      </w:r>
      <w:r w:rsidR="00E637D2">
        <w:rPr>
          <w:rFonts w:ascii="Cambria" w:hAnsi="Cambria"/>
          <w:b/>
          <w:bCs/>
          <w:sz w:val="22"/>
          <w:szCs w:val="22"/>
          <w:lang w:eastAsia="ar-SA"/>
        </w:rPr>
        <w:t>1</w:t>
      </w:r>
      <w:r w:rsidRPr="00C54F73">
        <w:rPr>
          <w:rFonts w:ascii="Cambria" w:hAnsi="Cambria"/>
          <w:b/>
          <w:bCs/>
          <w:sz w:val="22"/>
          <w:szCs w:val="22"/>
          <w:lang w:eastAsia="ar-SA"/>
        </w:rPr>
        <w:t xml:space="preserve"> г</w:t>
      </w:r>
      <w:r w:rsidRPr="00C54F73">
        <w:rPr>
          <w:rFonts w:ascii="Cambria" w:hAnsi="Cambria"/>
          <w:b/>
          <w:bCs/>
          <w:sz w:val="22"/>
          <w:szCs w:val="22"/>
          <w:lang w:val="en-US" w:eastAsia="ar-SA"/>
        </w:rPr>
        <w:t>.</w:t>
      </w:r>
    </w:p>
    <w:p w:rsidR="00D65490" w:rsidRPr="00D65490" w:rsidRDefault="00D65490" w:rsidP="00205EDA">
      <w:pPr>
        <w:tabs>
          <w:tab w:val="left" w:pos="0"/>
        </w:tabs>
        <w:jc w:val="center"/>
        <w:rPr>
          <w:rFonts w:ascii="Cambria" w:hAnsi="Cambria"/>
          <w:b/>
          <w:bCs/>
          <w:sz w:val="22"/>
          <w:szCs w:val="22"/>
          <w:lang w:eastAsia="ar-SA"/>
        </w:rPr>
      </w:pPr>
      <w:r>
        <w:rPr>
          <w:rFonts w:ascii="Cambria" w:hAnsi="Cambria"/>
          <w:b/>
          <w:bCs/>
          <w:sz w:val="22"/>
          <w:szCs w:val="22"/>
          <w:lang w:eastAsia="ar-SA"/>
        </w:rPr>
        <w:t>(резюме)</w:t>
      </w:r>
    </w:p>
    <w:p w:rsidR="00A51B15" w:rsidRPr="00C54F73" w:rsidRDefault="00A51B15" w:rsidP="00205EDA">
      <w:pPr>
        <w:tabs>
          <w:tab w:val="left" w:pos="0"/>
        </w:tabs>
        <w:jc w:val="both"/>
        <w:rPr>
          <w:rFonts w:ascii="Cambria" w:hAnsi="Cambria"/>
          <w:sz w:val="22"/>
          <w:szCs w:val="22"/>
          <w:lang w:val="en-US"/>
        </w:rPr>
      </w:pPr>
    </w:p>
    <w:bookmarkEnd w:id="0"/>
    <w:bookmarkEnd w:id="1"/>
    <w:p w:rsidR="00250D51" w:rsidRPr="00250D51" w:rsidRDefault="005D3045" w:rsidP="00205EDA">
      <w:pPr>
        <w:tabs>
          <w:tab w:val="left" w:pos="0"/>
        </w:tabs>
        <w:jc w:val="both"/>
        <w:rPr>
          <w:rFonts w:ascii="Cambria" w:hAnsi="Cambria"/>
          <w:sz w:val="22"/>
          <w:szCs w:val="22"/>
        </w:rPr>
      </w:pPr>
      <w:r w:rsidRPr="00C54F73">
        <w:rPr>
          <w:rFonts w:ascii="Cambria" w:hAnsi="Cambria"/>
          <w:sz w:val="22"/>
          <w:szCs w:val="22"/>
        </w:rPr>
        <w:tab/>
      </w:r>
      <w:r w:rsidR="00250D51" w:rsidRPr="00250D51">
        <w:rPr>
          <w:rFonts w:ascii="Cambria" w:hAnsi="Cambria"/>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националния интерес</w:t>
      </w:r>
      <w:r w:rsidR="00E95B69">
        <w:rPr>
          <w:rFonts w:ascii="Cambria" w:hAnsi="Cambria"/>
          <w:sz w:val="22"/>
          <w:szCs w:val="22"/>
        </w:rPr>
        <w:t xml:space="preserve"> </w:t>
      </w:r>
      <w:r w:rsidR="00E95B69" w:rsidRPr="00016BBC">
        <w:rPr>
          <w:rFonts w:ascii="Cambria" w:hAnsi="Cambria"/>
          <w:sz w:val="22"/>
          <w:szCs w:val="22"/>
        </w:rPr>
        <w:t xml:space="preserve">и произтичащите външнополитически </w:t>
      </w:r>
      <w:r w:rsidR="00E95B69">
        <w:rPr>
          <w:rFonts w:ascii="Cambria" w:hAnsi="Cambria"/>
          <w:sz w:val="22"/>
          <w:szCs w:val="22"/>
        </w:rPr>
        <w:t>приоритети</w:t>
      </w:r>
      <w:r w:rsidR="00E95B69" w:rsidRPr="00016BBC">
        <w:rPr>
          <w:rFonts w:ascii="Cambria" w:hAnsi="Cambria"/>
          <w:sz w:val="22"/>
          <w:szCs w:val="22"/>
        </w:rPr>
        <w:t xml:space="preserve"> на страната</w:t>
      </w:r>
      <w:r w:rsidR="00250D51" w:rsidRPr="00250D51">
        <w:rPr>
          <w:rFonts w:ascii="Cambria" w:hAnsi="Cambria"/>
          <w:sz w:val="22"/>
          <w:szCs w:val="22"/>
        </w:rPr>
        <w:t>.</w:t>
      </w:r>
    </w:p>
    <w:p w:rsidR="00250D51" w:rsidRPr="00250D51" w:rsidRDefault="00794EE2" w:rsidP="00205EDA">
      <w:pPr>
        <w:tabs>
          <w:tab w:val="left" w:pos="0"/>
        </w:tabs>
        <w:jc w:val="both"/>
        <w:rPr>
          <w:rFonts w:ascii="Cambria" w:hAnsi="Cambria"/>
          <w:sz w:val="22"/>
          <w:szCs w:val="22"/>
        </w:rPr>
      </w:pPr>
      <w:r>
        <w:rPr>
          <w:rFonts w:ascii="Cambria" w:hAnsi="Cambria"/>
          <w:sz w:val="22"/>
          <w:szCs w:val="22"/>
        </w:rPr>
        <w:tab/>
      </w:r>
      <w:r w:rsidR="00250D51" w:rsidRPr="00250D51">
        <w:rPr>
          <w:rFonts w:ascii="Cambria" w:hAnsi="Cambria"/>
          <w:sz w:val="22"/>
          <w:szCs w:val="22"/>
        </w:rPr>
        <w:t>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три политики, съответно „Развитие на ефективна дипломатическа служба”, „Публична дипломация”, „Активна двустранна и многостранна дипломация” и единадесет програми. В тази рамка се систематизират разнородните дейности на дипломатическата служба в изпълнение на целите и осъществяване на мерките, разписани в Програмата за управление на Правителството на Република България за периода 2017-2021 г., както и в изпълнение на редица други ключови стратегически документи като Стратегия</w:t>
      </w:r>
      <w:r w:rsidR="00174B44">
        <w:rPr>
          <w:rFonts w:ascii="Cambria" w:hAnsi="Cambria"/>
          <w:sz w:val="22"/>
          <w:szCs w:val="22"/>
        </w:rPr>
        <w:t>та</w:t>
      </w:r>
      <w:r w:rsidR="00250D51" w:rsidRPr="00250D51">
        <w:rPr>
          <w:rFonts w:ascii="Cambria" w:hAnsi="Cambria"/>
          <w:sz w:val="22"/>
          <w:szCs w:val="22"/>
        </w:rPr>
        <w:t xml:space="preserve"> за национална сигурност и актуализирана Стратегия</w:t>
      </w:r>
      <w:r w:rsidR="00174B44">
        <w:rPr>
          <w:rFonts w:ascii="Cambria" w:hAnsi="Cambria"/>
          <w:sz w:val="22"/>
          <w:szCs w:val="22"/>
        </w:rPr>
        <w:t>та</w:t>
      </w:r>
      <w:r w:rsidR="00250D51" w:rsidRPr="00250D51">
        <w:rPr>
          <w:rFonts w:ascii="Cambria" w:hAnsi="Cambria"/>
          <w:sz w:val="22"/>
          <w:szCs w:val="22"/>
        </w:rPr>
        <w:t xml:space="preserve"> за национална сигурност; Национална стратегия за българските граждани и историческите български общности по света; Национална</w:t>
      </w:r>
      <w:r w:rsidR="00174B44">
        <w:rPr>
          <w:rFonts w:ascii="Cambria" w:hAnsi="Cambria"/>
          <w:sz w:val="22"/>
          <w:szCs w:val="22"/>
        </w:rPr>
        <w:t>та</w:t>
      </w:r>
      <w:r w:rsidR="00250D51" w:rsidRPr="00250D51">
        <w:rPr>
          <w:rFonts w:ascii="Cambria" w:hAnsi="Cambria"/>
          <w:sz w:val="22"/>
          <w:szCs w:val="22"/>
        </w:rPr>
        <w:t xml:space="preserve"> програма за развитие 2030; Средносрочна</w:t>
      </w:r>
      <w:r w:rsidR="00174B44">
        <w:rPr>
          <w:rFonts w:ascii="Cambria" w:hAnsi="Cambria"/>
          <w:sz w:val="22"/>
          <w:szCs w:val="22"/>
        </w:rPr>
        <w:t>та</w:t>
      </w:r>
      <w:r w:rsidR="00250D51" w:rsidRPr="00250D51">
        <w:rPr>
          <w:rFonts w:ascii="Cambria" w:hAnsi="Cambria"/>
          <w:sz w:val="22"/>
          <w:szCs w:val="22"/>
        </w:rPr>
        <w:t xml:space="preserve"> програма за помощ за развитие и хуманитарна помощ за периода 2020-2024 г.; актуализирана</w:t>
      </w:r>
      <w:r w:rsidR="00174B44">
        <w:rPr>
          <w:rFonts w:ascii="Cambria" w:hAnsi="Cambria"/>
          <w:sz w:val="22"/>
          <w:szCs w:val="22"/>
        </w:rPr>
        <w:t>та</w:t>
      </w:r>
      <w:r w:rsidR="00250D51" w:rsidRPr="00250D51">
        <w:rPr>
          <w:rFonts w:ascii="Cambria" w:hAnsi="Cambria"/>
          <w:sz w:val="22"/>
          <w:szCs w:val="22"/>
        </w:rPr>
        <w:t xml:space="preserve"> Стратегия за развитие на електронното управление 2019-2025 </w:t>
      </w:r>
      <w:r w:rsidR="00695B69">
        <w:rPr>
          <w:rFonts w:ascii="Cambria" w:hAnsi="Cambria"/>
          <w:sz w:val="22"/>
          <w:szCs w:val="22"/>
        </w:rPr>
        <w:t xml:space="preserve">г. </w:t>
      </w:r>
      <w:r w:rsidR="00250D51" w:rsidRPr="00250D51">
        <w:rPr>
          <w:rFonts w:ascii="Cambria" w:hAnsi="Cambria"/>
          <w:sz w:val="22"/>
          <w:szCs w:val="22"/>
        </w:rPr>
        <w:t>и др</w:t>
      </w:r>
      <w:r w:rsidR="00695B69">
        <w:rPr>
          <w:rFonts w:ascii="Cambria" w:hAnsi="Cambria"/>
          <w:sz w:val="22"/>
          <w:szCs w:val="22"/>
        </w:rPr>
        <w:t>.</w:t>
      </w:r>
    </w:p>
    <w:p w:rsidR="00CC46B1" w:rsidRDefault="00794EE2" w:rsidP="00205EDA">
      <w:pPr>
        <w:tabs>
          <w:tab w:val="left" w:pos="0"/>
        </w:tabs>
        <w:jc w:val="both"/>
        <w:rPr>
          <w:rFonts w:ascii="Cambria" w:hAnsi="Cambria"/>
          <w:sz w:val="22"/>
          <w:szCs w:val="22"/>
        </w:rPr>
      </w:pPr>
      <w:r>
        <w:rPr>
          <w:rFonts w:ascii="Cambria" w:hAnsi="Cambria"/>
          <w:sz w:val="22"/>
          <w:szCs w:val="22"/>
        </w:rPr>
        <w:tab/>
      </w:r>
      <w:r w:rsidR="00695B69">
        <w:rPr>
          <w:rFonts w:ascii="Cambria" w:hAnsi="Cambria"/>
          <w:sz w:val="22"/>
          <w:szCs w:val="22"/>
        </w:rPr>
        <w:t xml:space="preserve">Голяма част от усилията </w:t>
      </w:r>
      <w:r w:rsidR="00250D51" w:rsidRPr="00250D51">
        <w:rPr>
          <w:rFonts w:ascii="Cambria" w:hAnsi="Cambria"/>
          <w:sz w:val="22"/>
          <w:szCs w:val="22"/>
        </w:rPr>
        <w:t xml:space="preserve">на МВнР през </w:t>
      </w:r>
      <w:r w:rsidR="00695B69">
        <w:rPr>
          <w:rFonts w:ascii="Cambria" w:hAnsi="Cambria"/>
          <w:sz w:val="22"/>
          <w:szCs w:val="22"/>
        </w:rPr>
        <w:t xml:space="preserve">първата половина на 2021 г. бяха посветени на </w:t>
      </w:r>
      <w:r w:rsidR="00250D51" w:rsidRPr="00E95B69">
        <w:rPr>
          <w:rFonts w:ascii="Cambria" w:hAnsi="Cambria"/>
          <w:b/>
          <w:sz w:val="22"/>
          <w:szCs w:val="22"/>
        </w:rPr>
        <w:t>организацията на редовните парламентарни избори в чужбина, проведени на 4 април и подготовката на извънредните парламентарни избори в чужбина, проведени на 11 юли т.г.</w:t>
      </w:r>
      <w:r w:rsidR="00250D51" w:rsidRPr="00250D51">
        <w:rPr>
          <w:rFonts w:ascii="Cambria" w:hAnsi="Cambria"/>
          <w:sz w:val="22"/>
          <w:szCs w:val="22"/>
        </w:rPr>
        <w:t xml:space="preserve"> След направените от 45-то Народно събрание промени в Изборния кодекс, МВнР трябваше със същия ресурс да се справи с двойно по-голямо ор</w:t>
      </w:r>
      <w:r w:rsidR="00971A24">
        <w:rPr>
          <w:rFonts w:ascii="Cambria" w:hAnsi="Cambria"/>
          <w:sz w:val="22"/>
          <w:szCs w:val="22"/>
        </w:rPr>
        <w:t xml:space="preserve">ганизационно предизвикателство. </w:t>
      </w:r>
      <w:r w:rsidR="00971A24">
        <w:rPr>
          <w:rFonts w:ascii="Cambria" w:hAnsi="Cambria"/>
          <w:sz w:val="22"/>
          <w:szCs w:val="22"/>
          <w:lang w:val="en-US"/>
        </w:rPr>
        <w:t>Б</w:t>
      </w:r>
      <w:r w:rsidR="00971A24">
        <w:rPr>
          <w:rFonts w:ascii="Cambria" w:hAnsi="Cambria"/>
          <w:bCs/>
          <w:iCs/>
          <w:sz w:val="22"/>
          <w:szCs w:val="22"/>
        </w:rPr>
        <w:t>яха р</w:t>
      </w:r>
      <w:r w:rsidR="00971A24" w:rsidRPr="00E637D2">
        <w:rPr>
          <w:rFonts w:ascii="Cambria" w:hAnsi="Cambria"/>
          <w:bCs/>
          <w:iCs/>
          <w:sz w:val="22"/>
          <w:szCs w:val="22"/>
        </w:rPr>
        <w:t xml:space="preserve">азкрити безпрецедентен брой избирателни секции зад граница – </w:t>
      </w:r>
      <w:r w:rsidR="00971A24" w:rsidRPr="00E95B69">
        <w:rPr>
          <w:rFonts w:ascii="Cambria" w:hAnsi="Cambria"/>
          <w:b/>
          <w:bCs/>
          <w:iCs/>
          <w:sz w:val="22"/>
          <w:szCs w:val="22"/>
        </w:rPr>
        <w:t>782 бр. в 68 държави (62% повече секции в сравнение с вота на 4 април 2021 г.)</w:t>
      </w:r>
      <w:r w:rsidR="00971A24" w:rsidRPr="00E637D2">
        <w:rPr>
          <w:rFonts w:ascii="Cambria" w:hAnsi="Cambria"/>
          <w:bCs/>
          <w:iCs/>
          <w:sz w:val="22"/>
          <w:szCs w:val="22"/>
        </w:rPr>
        <w:t>. До различни краища на света бяха превозени над 40 тона машини и изборни книжа.</w:t>
      </w:r>
      <w:r w:rsidR="00971A24">
        <w:rPr>
          <w:rFonts w:ascii="Cambria" w:hAnsi="Cambria"/>
          <w:bCs/>
          <w:iCs/>
          <w:sz w:val="22"/>
          <w:szCs w:val="22"/>
        </w:rPr>
        <w:t xml:space="preserve"> </w:t>
      </w:r>
      <w:r w:rsidR="00250D51" w:rsidRPr="00250D51">
        <w:rPr>
          <w:rFonts w:ascii="Cambria" w:hAnsi="Cambria"/>
          <w:sz w:val="22"/>
          <w:szCs w:val="22"/>
        </w:rPr>
        <w:t xml:space="preserve">В условията на все още </w:t>
      </w:r>
      <w:proofErr w:type="spellStart"/>
      <w:r w:rsidR="00250D51" w:rsidRPr="00250D51">
        <w:rPr>
          <w:rFonts w:ascii="Cambria" w:hAnsi="Cambria"/>
          <w:sz w:val="22"/>
          <w:szCs w:val="22"/>
        </w:rPr>
        <w:t>неотминала</w:t>
      </w:r>
      <w:proofErr w:type="spellEnd"/>
      <w:r w:rsidR="00250D51" w:rsidRPr="00250D51">
        <w:rPr>
          <w:rFonts w:ascii="Cambria" w:hAnsi="Cambria"/>
          <w:sz w:val="22"/>
          <w:szCs w:val="22"/>
        </w:rPr>
        <w:t xml:space="preserve"> пандемия, благодарение на активното съдействие и усилия на задграничните ни представителства и на българските общности зад граница, на усиления труд на служителите на МВнР и други ведомства от държавната администрация, които бяха командировани като членове на СИК в чужбина</w:t>
      </w:r>
      <w:r w:rsidR="00695B69">
        <w:rPr>
          <w:rFonts w:ascii="Cambria" w:hAnsi="Cambria"/>
          <w:sz w:val="22"/>
          <w:szCs w:val="22"/>
        </w:rPr>
        <w:t xml:space="preserve"> и за двата</w:t>
      </w:r>
      <w:r w:rsidR="00AB2E84">
        <w:rPr>
          <w:rFonts w:ascii="Cambria" w:hAnsi="Cambria"/>
          <w:sz w:val="22"/>
          <w:szCs w:val="22"/>
        </w:rPr>
        <w:t xml:space="preserve"> вота</w:t>
      </w:r>
      <w:r w:rsidR="00250D51" w:rsidRPr="00250D51">
        <w:rPr>
          <w:rFonts w:ascii="Cambria" w:hAnsi="Cambria"/>
          <w:sz w:val="22"/>
          <w:szCs w:val="22"/>
        </w:rPr>
        <w:t xml:space="preserve">, МВнР успя да създаде максимално добри условия за провеждането на честен </w:t>
      </w:r>
      <w:r w:rsidR="00622221">
        <w:rPr>
          <w:rFonts w:ascii="Cambria" w:hAnsi="Cambria"/>
          <w:sz w:val="22"/>
          <w:szCs w:val="22"/>
        </w:rPr>
        <w:t>и прозрачен избирателен процес.</w:t>
      </w:r>
    </w:p>
    <w:p w:rsidR="00AB2E84" w:rsidRPr="00AB2E84" w:rsidRDefault="00AB2E84" w:rsidP="00AB2E84">
      <w:pPr>
        <w:tabs>
          <w:tab w:val="left" w:pos="0"/>
        </w:tabs>
        <w:jc w:val="both"/>
        <w:rPr>
          <w:rFonts w:ascii="Cambria" w:hAnsi="Cambria"/>
          <w:sz w:val="22"/>
          <w:szCs w:val="22"/>
        </w:rPr>
      </w:pPr>
      <w:r>
        <w:rPr>
          <w:rFonts w:ascii="Cambria" w:hAnsi="Cambria"/>
          <w:sz w:val="22"/>
          <w:szCs w:val="22"/>
        </w:rPr>
        <w:tab/>
      </w:r>
      <w:r w:rsidRPr="00AB2E84">
        <w:rPr>
          <w:rFonts w:ascii="Cambria" w:hAnsi="Cambria"/>
          <w:sz w:val="22"/>
          <w:szCs w:val="22"/>
        </w:rPr>
        <w:t>През отчетния период, извънредната епидемиологична обстановка, породена от пандемията от COVID-19 и предприетите мерки за неразпространение, както на национално, така и на международно равнище, се отразиха съществено върху работните процеси и дейността на Министерството.</w:t>
      </w:r>
    </w:p>
    <w:p w:rsidR="00AB2E84" w:rsidRPr="00AB2E84" w:rsidRDefault="00AB2E84" w:rsidP="00AB2E84">
      <w:pPr>
        <w:tabs>
          <w:tab w:val="left" w:pos="0"/>
        </w:tabs>
        <w:jc w:val="both"/>
        <w:rPr>
          <w:rFonts w:ascii="Cambria" w:hAnsi="Cambria"/>
          <w:sz w:val="22"/>
          <w:szCs w:val="22"/>
        </w:rPr>
      </w:pPr>
      <w:r w:rsidRPr="00AB2E84">
        <w:rPr>
          <w:rFonts w:ascii="Cambria" w:hAnsi="Cambria"/>
          <w:sz w:val="22"/>
          <w:szCs w:val="22"/>
        </w:rPr>
        <w:tab/>
        <w:t xml:space="preserve">В рамките на „Политиката за развитие на ефективна дипломатическа служба“ през първата половина на 2021 г. се положиха усилия за постигане на ефективност и резултатност на работните процеси, подобряване </w:t>
      </w:r>
      <w:r w:rsidR="009018F5">
        <w:rPr>
          <w:rFonts w:ascii="Cambria" w:hAnsi="Cambria"/>
          <w:sz w:val="22"/>
          <w:szCs w:val="22"/>
        </w:rPr>
        <w:t xml:space="preserve">на </w:t>
      </w:r>
      <w:r w:rsidRPr="00AB2E84">
        <w:rPr>
          <w:rFonts w:ascii="Cambria" w:hAnsi="Cambria"/>
          <w:sz w:val="22"/>
          <w:szCs w:val="22"/>
        </w:rPr>
        <w:t>условията на труд и техническо осиг</w:t>
      </w:r>
      <w:r w:rsidR="00C214BC">
        <w:rPr>
          <w:rFonts w:ascii="Cambria" w:hAnsi="Cambria"/>
          <w:sz w:val="22"/>
          <w:szCs w:val="22"/>
        </w:rPr>
        <w:t>уряване. В рамките на възможностите, които</w:t>
      </w:r>
      <w:r w:rsidRPr="00AB2E84">
        <w:rPr>
          <w:rFonts w:ascii="Cambria" w:hAnsi="Cambria"/>
          <w:sz w:val="22"/>
          <w:szCs w:val="22"/>
        </w:rPr>
        <w:t xml:space="preserve"> предоставя бюджетната рамка, бяха постигнати набелязаните оперативни цели в двете програми: „Администриране и осигуряване на дипломатическата служба” и „Управление на задграничните представителства и подкрепа на българските граждани в чужбина”. </w:t>
      </w:r>
    </w:p>
    <w:p w:rsidR="00AB2E84" w:rsidRPr="00AB2E84" w:rsidRDefault="00AB2E84" w:rsidP="00AB2E84">
      <w:pPr>
        <w:tabs>
          <w:tab w:val="left" w:pos="0"/>
        </w:tabs>
        <w:jc w:val="both"/>
        <w:rPr>
          <w:rFonts w:ascii="Cambria" w:hAnsi="Cambria"/>
          <w:sz w:val="22"/>
          <w:szCs w:val="22"/>
        </w:rPr>
      </w:pPr>
      <w:r w:rsidRPr="00AB2E84">
        <w:rPr>
          <w:rFonts w:ascii="Cambria" w:hAnsi="Cambria"/>
          <w:sz w:val="22"/>
          <w:szCs w:val="22"/>
        </w:rPr>
        <w:tab/>
        <w:t xml:space="preserve">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годишното атестиране на служителите и ежегодната ротация в дипломатическата служба. През отчетния период бяха предприемани действия за подобряване на материално-техническата база на ведомството, поддържане на административно-информационните и техническите способности, оптимизация на електронния документооборот и повишаване на нивото на мрежовата и </w:t>
      </w:r>
      <w:r w:rsidRPr="00AB2E84">
        <w:rPr>
          <w:rFonts w:ascii="Cambria" w:hAnsi="Cambria"/>
          <w:sz w:val="22"/>
          <w:szCs w:val="22"/>
        </w:rPr>
        <w:lastRenderedPageBreak/>
        <w:t xml:space="preserve">информационна сигурност. </w:t>
      </w:r>
      <w:r w:rsidR="0066020E">
        <w:rPr>
          <w:rFonts w:ascii="Cambria" w:hAnsi="Cambria"/>
          <w:sz w:val="22"/>
          <w:szCs w:val="22"/>
        </w:rPr>
        <w:t xml:space="preserve">Министерството продължи да поддържа </w:t>
      </w:r>
      <w:r w:rsidRPr="00AB2E84">
        <w:rPr>
          <w:rFonts w:ascii="Cambria" w:hAnsi="Cambria"/>
          <w:sz w:val="22"/>
          <w:szCs w:val="22"/>
        </w:rPr>
        <w:t xml:space="preserve">мрежата от </w:t>
      </w:r>
      <w:r w:rsidR="0066020E">
        <w:rPr>
          <w:rFonts w:ascii="Cambria" w:hAnsi="Cambria"/>
          <w:sz w:val="22"/>
          <w:szCs w:val="22"/>
        </w:rPr>
        <w:t xml:space="preserve">всички </w:t>
      </w:r>
      <w:r w:rsidRPr="00AB2E84">
        <w:rPr>
          <w:rFonts w:ascii="Cambria" w:hAnsi="Cambria"/>
          <w:sz w:val="22"/>
          <w:szCs w:val="22"/>
        </w:rPr>
        <w:t>задгранични представителства</w:t>
      </w:r>
      <w:r w:rsidR="0066020E">
        <w:rPr>
          <w:rFonts w:ascii="Cambria" w:hAnsi="Cambria"/>
          <w:sz w:val="22"/>
          <w:szCs w:val="22"/>
        </w:rPr>
        <w:t xml:space="preserve"> на Република България</w:t>
      </w:r>
      <w:r w:rsidRPr="00AB2E84">
        <w:rPr>
          <w:rFonts w:ascii="Cambria" w:hAnsi="Cambria"/>
          <w:sz w:val="22"/>
          <w:szCs w:val="22"/>
        </w:rPr>
        <w:t>, които работеха ефективно за изпълнение на външнополитическите приоритети на страната.</w:t>
      </w:r>
    </w:p>
    <w:p w:rsidR="00775ED0" w:rsidRPr="00C54F73" w:rsidRDefault="005D3045" w:rsidP="00AB2E84">
      <w:pPr>
        <w:tabs>
          <w:tab w:val="left" w:pos="0"/>
        </w:tabs>
        <w:jc w:val="both"/>
        <w:rPr>
          <w:rFonts w:ascii="Cambria" w:hAnsi="Cambria"/>
          <w:bCs/>
          <w:sz w:val="22"/>
          <w:szCs w:val="22"/>
        </w:rPr>
      </w:pPr>
      <w:r w:rsidRPr="00C54F73">
        <w:rPr>
          <w:rFonts w:ascii="Cambria" w:hAnsi="Cambria"/>
          <w:sz w:val="22"/>
          <w:szCs w:val="22"/>
        </w:rPr>
        <w:tab/>
      </w:r>
      <w:r w:rsidR="00764CA0">
        <w:rPr>
          <w:rFonts w:ascii="Cambria" w:hAnsi="Cambria"/>
          <w:bCs/>
          <w:sz w:val="22"/>
          <w:szCs w:val="22"/>
        </w:rPr>
        <w:t>Предвид продължаващата извънре</w:t>
      </w:r>
      <w:r w:rsidR="00AB2E84">
        <w:rPr>
          <w:rFonts w:ascii="Cambria" w:hAnsi="Cambria"/>
          <w:bCs/>
          <w:sz w:val="22"/>
          <w:szCs w:val="22"/>
        </w:rPr>
        <w:t xml:space="preserve">дна </w:t>
      </w:r>
      <w:proofErr w:type="spellStart"/>
      <w:r w:rsidR="00AB2E84">
        <w:rPr>
          <w:rFonts w:ascii="Cambria" w:hAnsi="Cambria"/>
          <w:bCs/>
          <w:sz w:val="22"/>
          <w:szCs w:val="22"/>
        </w:rPr>
        <w:t>епидимиологична</w:t>
      </w:r>
      <w:proofErr w:type="spellEnd"/>
      <w:r w:rsidR="00AB2E84">
        <w:rPr>
          <w:rFonts w:ascii="Cambria" w:hAnsi="Cambria"/>
          <w:bCs/>
          <w:sz w:val="22"/>
          <w:szCs w:val="22"/>
        </w:rPr>
        <w:t xml:space="preserve"> обстановка, причинена от разпространението на </w:t>
      </w:r>
      <w:r w:rsidR="00AB2E84">
        <w:rPr>
          <w:rFonts w:ascii="Cambria" w:hAnsi="Cambria"/>
          <w:bCs/>
          <w:sz w:val="22"/>
          <w:szCs w:val="22"/>
          <w:lang w:val="en-US"/>
        </w:rPr>
        <w:t xml:space="preserve">COVID-19, </w:t>
      </w:r>
      <w:r w:rsidR="00764CA0">
        <w:rPr>
          <w:rFonts w:ascii="Cambria" w:hAnsi="Cambria"/>
          <w:bCs/>
          <w:sz w:val="22"/>
          <w:szCs w:val="22"/>
        </w:rPr>
        <w:t xml:space="preserve">МВнР продължи </w:t>
      </w:r>
      <w:r w:rsidR="00FF3F0E">
        <w:rPr>
          <w:rFonts w:ascii="Cambria" w:hAnsi="Cambria"/>
          <w:bCs/>
          <w:sz w:val="22"/>
          <w:szCs w:val="22"/>
        </w:rPr>
        <w:t>да поддържа</w:t>
      </w:r>
      <w:r w:rsidR="00FF3F0E" w:rsidRPr="00FF3F0E">
        <w:rPr>
          <w:rFonts w:ascii="Cambria" w:hAnsi="Cambria"/>
          <w:bCs/>
          <w:iCs/>
          <w:sz w:val="22"/>
          <w:szCs w:val="22"/>
          <w:lang w:eastAsia="ar-SA"/>
        </w:rPr>
        <w:t xml:space="preserve"> </w:t>
      </w:r>
      <w:r w:rsidR="00FF3F0E" w:rsidRPr="00FF3F0E">
        <w:rPr>
          <w:rFonts w:ascii="Cambria" w:hAnsi="Cambria"/>
          <w:bCs/>
          <w:iCs/>
          <w:sz w:val="22"/>
          <w:szCs w:val="22"/>
        </w:rPr>
        <w:t>денонощен информационен кол център с 8 телефонни линии, на които гражданите получават денонощно информация и/или подават сигнали в случай на криза или ситуация</w:t>
      </w:r>
      <w:r w:rsidR="00F1681C" w:rsidRPr="00C54F73">
        <w:rPr>
          <w:rFonts w:ascii="Cambria" w:hAnsi="Cambria"/>
          <w:bCs/>
          <w:sz w:val="22"/>
          <w:szCs w:val="22"/>
        </w:rPr>
        <w:t>.</w:t>
      </w:r>
      <w:r w:rsidR="00FF3F0E">
        <w:rPr>
          <w:rFonts w:ascii="Cambria" w:hAnsi="Cambria"/>
          <w:bCs/>
          <w:sz w:val="22"/>
          <w:szCs w:val="22"/>
        </w:rPr>
        <w:t xml:space="preserve"> На интернет страницата на министерството в </w:t>
      </w:r>
      <w:r w:rsidR="00FF3F0E" w:rsidRPr="00FF3F0E">
        <w:rPr>
          <w:rFonts w:ascii="Cambria" w:hAnsi="Cambria"/>
          <w:bCs/>
          <w:iCs/>
          <w:sz w:val="22"/>
          <w:szCs w:val="22"/>
        </w:rPr>
        <w:t>интерактивна</w:t>
      </w:r>
      <w:r w:rsidR="00FF3F0E">
        <w:rPr>
          <w:rFonts w:ascii="Cambria" w:hAnsi="Cambria"/>
          <w:bCs/>
          <w:iCs/>
          <w:sz w:val="22"/>
          <w:szCs w:val="22"/>
        </w:rPr>
        <w:t>та</w:t>
      </w:r>
      <w:r w:rsidR="00FF3F0E" w:rsidRPr="00FF3F0E">
        <w:rPr>
          <w:rFonts w:ascii="Cambria" w:hAnsi="Cambria"/>
          <w:bCs/>
          <w:iCs/>
          <w:sz w:val="22"/>
          <w:szCs w:val="22"/>
        </w:rPr>
        <w:t xml:space="preserve"> карта на света – „</w:t>
      </w:r>
      <w:proofErr w:type="spellStart"/>
      <w:r w:rsidR="00FF3F0E" w:rsidRPr="00FF3F0E">
        <w:rPr>
          <w:rFonts w:ascii="Cambria" w:hAnsi="Cambria"/>
          <w:bCs/>
          <w:iCs/>
          <w:sz w:val="22"/>
          <w:szCs w:val="22"/>
        </w:rPr>
        <w:t>Коронавирусът</w:t>
      </w:r>
      <w:proofErr w:type="spellEnd"/>
      <w:r w:rsidR="00FF3F0E" w:rsidRPr="00FF3F0E">
        <w:rPr>
          <w:rFonts w:ascii="Cambria" w:hAnsi="Cambria"/>
          <w:bCs/>
          <w:iCs/>
          <w:sz w:val="22"/>
          <w:szCs w:val="22"/>
        </w:rPr>
        <w:t xml:space="preserve"> – как да пътуваме“ </w:t>
      </w:r>
      <w:r w:rsidR="00FF3F0E">
        <w:rPr>
          <w:rFonts w:ascii="Cambria" w:hAnsi="Cambria"/>
          <w:bCs/>
          <w:iCs/>
          <w:sz w:val="22"/>
          <w:szCs w:val="22"/>
        </w:rPr>
        <w:t xml:space="preserve">ежедневно се </w:t>
      </w:r>
      <w:r w:rsidR="00FF3F0E" w:rsidRPr="00FF3F0E">
        <w:rPr>
          <w:rFonts w:ascii="Cambria" w:hAnsi="Cambria"/>
          <w:bCs/>
          <w:iCs/>
          <w:sz w:val="22"/>
          <w:szCs w:val="22"/>
        </w:rPr>
        <w:t>помества и актуализира информация за условията и мерките за пътуване в условията на пандемията за всяка една държава</w:t>
      </w:r>
      <w:r w:rsidR="00FF3F0E">
        <w:rPr>
          <w:rFonts w:ascii="Cambria" w:hAnsi="Cambria"/>
          <w:bCs/>
          <w:iCs/>
          <w:sz w:val="22"/>
          <w:szCs w:val="22"/>
        </w:rPr>
        <w:t>.</w:t>
      </w:r>
    </w:p>
    <w:p w:rsidR="0037225B" w:rsidRDefault="005D3045" w:rsidP="00205EDA">
      <w:pPr>
        <w:tabs>
          <w:tab w:val="left" w:pos="0"/>
        </w:tabs>
        <w:autoSpaceDE w:val="0"/>
        <w:autoSpaceDN w:val="0"/>
        <w:adjustRightInd w:val="0"/>
        <w:jc w:val="both"/>
        <w:rPr>
          <w:rFonts w:ascii="Cambria" w:hAnsi="Cambria"/>
          <w:sz w:val="22"/>
          <w:szCs w:val="22"/>
        </w:rPr>
      </w:pPr>
      <w:r w:rsidRPr="00C54F73">
        <w:rPr>
          <w:rFonts w:ascii="Cambria" w:hAnsi="Cambria"/>
          <w:sz w:val="22"/>
          <w:szCs w:val="22"/>
        </w:rPr>
        <w:tab/>
      </w:r>
      <w:r w:rsidR="00CC46B1" w:rsidRPr="00C54F73">
        <w:rPr>
          <w:rFonts w:ascii="Cambria" w:hAnsi="Cambria"/>
          <w:sz w:val="22"/>
          <w:szCs w:val="22"/>
        </w:rPr>
        <w:t>Чрез средствата на публичната</w:t>
      </w:r>
      <w:r w:rsidR="00FA0193">
        <w:rPr>
          <w:rFonts w:ascii="Cambria" w:hAnsi="Cambria"/>
          <w:sz w:val="22"/>
          <w:szCs w:val="22"/>
        </w:rPr>
        <w:t xml:space="preserve"> дипломация интензивно се работеше</w:t>
      </w:r>
      <w:r w:rsidR="00CC46B1" w:rsidRPr="00C54F73">
        <w:rPr>
          <w:rFonts w:ascii="Cambria" w:hAnsi="Cambria"/>
          <w:sz w:val="22"/>
          <w:szCs w:val="22"/>
        </w:rPr>
        <w:t xml:space="preserve"> за осъществяване на оперативните цели, дефинирани в двете програми „Публични дейности” и „Културна дипломация”.</w:t>
      </w:r>
      <w:r w:rsidR="00FA0193">
        <w:rPr>
          <w:rFonts w:ascii="Cambria" w:hAnsi="Cambria"/>
          <w:sz w:val="22"/>
          <w:szCs w:val="22"/>
        </w:rPr>
        <w:t xml:space="preserve"> </w:t>
      </w:r>
      <w:r w:rsidR="00CC46B1" w:rsidRPr="00C54F73">
        <w:rPr>
          <w:rFonts w:ascii="Cambria" w:hAnsi="Cambria"/>
          <w:sz w:val="22"/>
          <w:szCs w:val="22"/>
        </w:rPr>
        <w:t>Дипломатическият институт</w:t>
      </w:r>
      <w:r w:rsidR="00FF3F0E">
        <w:rPr>
          <w:rFonts w:ascii="Cambria" w:hAnsi="Cambria"/>
          <w:sz w:val="22"/>
          <w:szCs w:val="22"/>
        </w:rPr>
        <w:t xml:space="preserve"> реализира публични прояви с участието на </w:t>
      </w:r>
      <w:r w:rsidR="00FF3F0E" w:rsidRPr="00FF3F0E">
        <w:rPr>
          <w:rFonts w:ascii="Cambria" w:hAnsi="Cambria"/>
          <w:bCs/>
          <w:iCs/>
          <w:sz w:val="22"/>
          <w:szCs w:val="22"/>
        </w:rPr>
        <w:t>изявени експерти и дипломати</w:t>
      </w:r>
      <w:r w:rsidR="00FF3F0E">
        <w:rPr>
          <w:rFonts w:ascii="Cambria" w:hAnsi="Cambria"/>
          <w:bCs/>
          <w:iCs/>
          <w:sz w:val="22"/>
          <w:szCs w:val="22"/>
        </w:rPr>
        <w:t>, както и редиц</w:t>
      </w:r>
      <w:r w:rsidR="00DF6754">
        <w:rPr>
          <w:rFonts w:ascii="Cambria" w:hAnsi="Cambria"/>
          <w:bCs/>
          <w:iCs/>
          <w:sz w:val="22"/>
          <w:szCs w:val="22"/>
        </w:rPr>
        <w:t xml:space="preserve">а обучителни курсове и семинари, които предоставят </w:t>
      </w:r>
      <w:r w:rsidR="00DF6754" w:rsidRPr="00DF6754">
        <w:rPr>
          <w:rFonts w:ascii="Cambria" w:hAnsi="Cambria"/>
          <w:bCs/>
          <w:iCs/>
          <w:sz w:val="22"/>
          <w:szCs w:val="22"/>
        </w:rPr>
        <w:t>допълнителни практически знания и умения на участниците, повишавайки тяхната експертиза</w:t>
      </w:r>
      <w:r w:rsidR="00DF6754">
        <w:rPr>
          <w:rFonts w:ascii="Cambria" w:hAnsi="Cambria"/>
          <w:bCs/>
          <w:iCs/>
          <w:sz w:val="22"/>
          <w:szCs w:val="22"/>
        </w:rPr>
        <w:t xml:space="preserve">. </w:t>
      </w:r>
      <w:r w:rsidR="00CC46B1" w:rsidRPr="00C54F73">
        <w:rPr>
          <w:rFonts w:ascii="Cambria" w:hAnsi="Cambria"/>
          <w:sz w:val="22"/>
          <w:szCs w:val="22"/>
        </w:rPr>
        <w:t xml:space="preserve"> Държавният културен институт</w:t>
      </w:r>
      <w:r w:rsidR="00DF6754">
        <w:rPr>
          <w:rFonts w:ascii="Cambria" w:hAnsi="Cambria"/>
          <w:sz w:val="22"/>
          <w:szCs w:val="22"/>
        </w:rPr>
        <w:t xml:space="preserve">, съвместно с българските задгранични представителства и партньори в и извън страната проведе редица събития, с цел </w:t>
      </w:r>
      <w:proofErr w:type="spellStart"/>
      <w:r w:rsidR="00DF6754">
        <w:rPr>
          <w:rFonts w:ascii="Cambria" w:hAnsi="Cambria"/>
          <w:sz w:val="22"/>
          <w:szCs w:val="22"/>
        </w:rPr>
        <w:t>промотиране</w:t>
      </w:r>
      <w:proofErr w:type="spellEnd"/>
      <w:r w:rsidR="00DF6754">
        <w:rPr>
          <w:rFonts w:ascii="Cambria" w:hAnsi="Cambria"/>
          <w:sz w:val="22"/>
          <w:szCs w:val="22"/>
        </w:rPr>
        <w:t xml:space="preserve"> на българск</w:t>
      </w:r>
      <w:r w:rsidR="00C1410D">
        <w:rPr>
          <w:rFonts w:ascii="Cambria" w:hAnsi="Cambria"/>
          <w:sz w:val="22"/>
          <w:szCs w:val="22"/>
        </w:rPr>
        <w:t xml:space="preserve">ия език и </w:t>
      </w:r>
      <w:r w:rsidR="00DF6754">
        <w:rPr>
          <w:rFonts w:ascii="Cambria" w:hAnsi="Cambria"/>
          <w:sz w:val="22"/>
          <w:szCs w:val="22"/>
        </w:rPr>
        <w:t>култур</w:t>
      </w:r>
      <w:r w:rsidR="00C1410D">
        <w:rPr>
          <w:rFonts w:ascii="Cambria" w:hAnsi="Cambria"/>
          <w:sz w:val="22"/>
          <w:szCs w:val="22"/>
        </w:rPr>
        <w:t>но-историческо наследство</w:t>
      </w:r>
      <w:r w:rsidR="00DA4226">
        <w:rPr>
          <w:rFonts w:ascii="Cambria" w:hAnsi="Cambria"/>
          <w:sz w:val="22"/>
          <w:szCs w:val="22"/>
        </w:rPr>
        <w:t xml:space="preserve">, </w:t>
      </w:r>
      <w:r w:rsidR="00012178">
        <w:rPr>
          <w:rFonts w:ascii="Cambria" w:hAnsi="Cambria"/>
          <w:sz w:val="22"/>
          <w:szCs w:val="22"/>
        </w:rPr>
        <w:t xml:space="preserve">популяризиране на постиженията на </w:t>
      </w:r>
      <w:r w:rsidR="00C1410D">
        <w:rPr>
          <w:rFonts w:ascii="Cambria" w:hAnsi="Cambria"/>
          <w:sz w:val="22"/>
          <w:szCs w:val="22"/>
        </w:rPr>
        <w:t xml:space="preserve">българската култура и наука, </w:t>
      </w:r>
      <w:r w:rsidR="00DA4226" w:rsidRPr="00DA4226">
        <w:rPr>
          <w:rFonts w:ascii="Cambria" w:hAnsi="Cambria"/>
          <w:sz w:val="22"/>
          <w:szCs w:val="22"/>
        </w:rPr>
        <w:t xml:space="preserve">утвърждаване на </w:t>
      </w:r>
      <w:r w:rsidR="00C1410D">
        <w:rPr>
          <w:rFonts w:ascii="Cambria" w:hAnsi="Cambria"/>
          <w:sz w:val="22"/>
          <w:szCs w:val="22"/>
        </w:rPr>
        <w:t xml:space="preserve">позитивен </w:t>
      </w:r>
      <w:r w:rsidR="00DA4226" w:rsidRPr="00DA4226">
        <w:rPr>
          <w:rFonts w:ascii="Cambria" w:hAnsi="Cambria"/>
          <w:sz w:val="22"/>
          <w:szCs w:val="22"/>
        </w:rPr>
        <w:t xml:space="preserve">образ на България като </w:t>
      </w:r>
      <w:r w:rsidR="00C1410D">
        <w:rPr>
          <w:rFonts w:ascii="Cambria" w:hAnsi="Cambria"/>
          <w:sz w:val="22"/>
          <w:szCs w:val="22"/>
        </w:rPr>
        <w:t xml:space="preserve">пълноценен </w:t>
      </w:r>
      <w:r w:rsidR="00DA4226" w:rsidRPr="00DA4226">
        <w:rPr>
          <w:rFonts w:ascii="Cambria" w:hAnsi="Cambria"/>
          <w:sz w:val="22"/>
          <w:szCs w:val="22"/>
        </w:rPr>
        <w:t>член на ЕС и подобряване на обществените нагласи за страната в чужбина</w:t>
      </w:r>
      <w:r w:rsidR="008872E4" w:rsidRPr="00C54F73">
        <w:rPr>
          <w:rFonts w:ascii="Cambria" w:hAnsi="Cambria"/>
          <w:sz w:val="22"/>
          <w:szCs w:val="22"/>
        </w:rPr>
        <w:t>.</w:t>
      </w:r>
      <w:r w:rsidR="00DA4226">
        <w:rPr>
          <w:rFonts w:ascii="Cambria" w:hAnsi="Cambria"/>
          <w:sz w:val="22"/>
          <w:szCs w:val="22"/>
        </w:rPr>
        <w:t xml:space="preserve"> </w:t>
      </w:r>
      <w:r w:rsidR="00DA4226" w:rsidRPr="00DA4226">
        <w:rPr>
          <w:rFonts w:ascii="Cambria" w:hAnsi="Cambria"/>
          <w:sz w:val="22"/>
          <w:szCs w:val="22"/>
        </w:rPr>
        <w:t>За популяризиране на публичния образ на МВн</w:t>
      </w:r>
      <w:r w:rsidR="00DA4226">
        <w:rPr>
          <w:rFonts w:ascii="Cambria" w:hAnsi="Cambria"/>
          <w:sz w:val="22"/>
          <w:szCs w:val="22"/>
        </w:rPr>
        <w:t>Р и дейността на министерството, през отчетния период</w:t>
      </w:r>
      <w:r w:rsidR="00DA4226" w:rsidRPr="00DA4226">
        <w:rPr>
          <w:rFonts w:ascii="Cambria" w:hAnsi="Cambria"/>
          <w:sz w:val="22"/>
          <w:szCs w:val="22"/>
        </w:rPr>
        <w:t xml:space="preserve"> всекидневно</w:t>
      </w:r>
      <w:r w:rsidR="00DA4226">
        <w:rPr>
          <w:rFonts w:ascii="Cambria" w:hAnsi="Cambria"/>
          <w:sz w:val="22"/>
          <w:szCs w:val="22"/>
        </w:rPr>
        <w:t xml:space="preserve"> бе</w:t>
      </w:r>
      <w:r w:rsidR="00DA4226" w:rsidRPr="00DA4226">
        <w:rPr>
          <w:rFonts w:ascii="Cambria" w:hAnsi="Cambria"/>
          <w:sz w:val="22"/>
          <w:szCs w:val="22"/>
        </w:rPr>
        <w:t xml:space="preserve"> поддържа</w:t>
      </w:r>
      <w:r w:rsidR="0037225B">
        <w:rPr>
          <w:rFonts w:ascii="Cambria" w:hAnsi="Cambria"/>
          <w:sz w:val="22"/>
          <w:szCs w:val="22"/>
        </w:rPr>
        <w:t>н</w:t>
      </w:r>
      <w:r w:rsidR="00DA4226" w:rsidRPr="00DA4226">
        <w:rPr>
          <w:rFonts w:ascii="Cambria" w:hAnsi="Cambria"/>
          <w:sz w:val="22"/>
          <w:szCs w:val="22"/>
        </w:rPr>
        <w:t xml:space="preserve"> и актуализира</w:t>
      </w:r>
      <w:r w:rsidR="0037225B">
        <w:rPr>
          <w:rFonts w:ascii="Cambria" w:hAnsi="Cambria"/>
          <w:sz w:val="22"/>
          <w:szCs w:val="22"/>
        </w:rPr>
        <w:t>н</w:t>
      </w:r>
      <w:r w:rsidR="00DA4226" w:rsidRPr="00DA4226">
        <w:rPr>
          <w:rFonts w:ascii="Cambria" w:hAnsi="Cambria"/>
          <w:sz w:val="22"/>
          <w:szCs w:val="22"/>
        </w:rPr>
        <w:t xml:space="preserve"> официалния</w:t>
      </w:r>
      <w:r w:rsidR="0037225B">
        <w:rPr>
          <w:rFonts w:ascii="Cambria" w:hAnsi="Cambria"/>
          <w:sz w:val="22"/>
          <w:szCs w:val="22"/>
        </w:rPr>
        <w:t>т</w:t>
      </w:r>
      <w:r w:rsidR="00DA4226" w:rsidRPr="00DA4226">
        <w:rPr>
          <w:rFonts w:ascii="Cambria" w:hAnsi="Cambria"/>
          <w:sz w:val="22"/>
          <w:szCs w:val="22"/>
        </w:rPr>
        <w:t xml:space="preserve"> сайт на министерството, както и </w:t>
      </w:r>
      <w:r w:rsidR="00C1410D">
        <w:rPr>
          <w:rFonts w:ascii="Cambria" w:hAnsi="Cambria"/>
          <w:sz w:val="22"/>
          <w:szCs w:val="22"/>
        </w:rPr>
        <w:t xml:space="preserve">тези </w:t>
      </w:r>
      <w:r w:rsidR="00DA4226" w:rsidRPr="00DA4226">
        <w:rPr>
          <w:rFonts w:ascii="Cambria" w:hAnsi="Cambria"/>
          <w:sz w:val="22"/>
          <w:szCs w:val="22"/>
        </w:rPr>
        <w:t xml:space="preserve">на ДКП. </w:t>
      </w:r>
    </w:p>
    <w:p w:rsidR="009D47A9" w:rsidRDefault="0037225B" w:rsidP="00205EDA">
      <w:pPr>
        <w:tabs>
          <w:tab w:val="left" w:pos="0"/>
        </w:tabs>
        <w:autoSpaceDE w:val="0"/>
        <w:autoSpaceDN w:val="0"/>
        <w:adjustRightInd w:val="0"/>
        <w:jc w:val="both"/>
        <w:rPr>
          <w:rFonts w:ascii="Cambria" w:hAnsi="Cambria"/>
          <w:sz w:val="22"/>
          <w:szCs w:val="22"/>
        </w:rPr>
      </w:pPr>
      <w:r>
        <w:rPr>
          <w:rFonts w:ascii="Cambria" w:hAnsi="Cambria"/>
          <w:sz w:val="22"/>
          <w:szCs w:val="22"/>
        </w:rPr>
        <w:tab/>
      </w:r>
      <w:r w:rsidR="004928CB" w:rsidRPr="00C54F73">
        <w:rPr>
          <w:rFonts w:ascii="Cambria" w:hAnsi="Cambria"/>
          <w:sz w:val="22"/>
          <w:szCs w:val="22"/>
        </w:rPr>
        <w:t xml:space="preserve">В </w:t>
      </w:r>
      <w:r w:rsidR="00AF6E05">
        <w:rPr>
          <w:rFonts w:ascii="Cambria" w:hAnsi="Cambria"/>
          <w:sz w:val="22"/>
          <w:szCs w:val="22"/>
        </w:rPr>
        <w:t xml:space="preserve">усложнената глобална обстановка, породена </w:t>
      </w:r>
      <w:r w:rsidR="00C1410D">
        <w:rPr>
          <w:rFonts w:ascii="Cambria" w:hAnsi="Cambria"/>
          <w:sz w:val="22"/>
          <w:szCs w:val="22"/>
        </w:rPr>
        <w:t xml:space="preserve">от </w:t>
      </w:r>
      <w:r w:rsidR="00AF6E05">
        <w:rPr>
          <w:rFonts w:ascii="Cambria" w:hAnsi="Cambria"/>
          <w:sz w:val="22"/>
          <w:szCs w:val="22"/>
        </w:rPr>
        <w:t>пандемията</w:t>
      </w:r>
      <w:r w:rsidR="004928CB" w:rsidRPr="00C54F73">
        <w:rPr>
          <w:rFonts w:ascii="Cambria" w:hAnsi="Cambria"/>
          <w:sz w:val="22"/>
          <w:szCs w:val="22"/>
        </w:rPr>
        <w:t xml:space="preserve"> COVID-19, бяха положени усилия за максимално реализиране на поставените оперативни цели, разписани в седемте програми: </w:t>
      </w:r>
      <w:r w:rsidR="004928CB" w:rsidRPr="00974E58">
        <w:rPr>
          <w:rFonts w:ascii="Cambria" w:hAnsi="Cambria"/>
          <w:sz w:val="22"/>
          <w:szCs w:val="22"/>
        </w:rPr>
        <w:t>„Принос за формиране на политики на ЕС и НАТО”, „Двустранни отношения”, „Международно сътрудничество”, „Европейска политика”, „Визова политика и управление на кризи”, „Осигуряване и контрол на външнополитическата дейност” и „Международно сътрудничество за развитие и хуманитарни въпроси”.</w:t>
      </w:r>
      <w:r w:rsidR="00CC46B1" w:rsidRPr="00C54F73">
        <w:rPr>
          <w:rFonts w:ascii="Cambria" w:hAnsi="Cambria"/>
          <w:sz w:val="22"/>
          <w:szCs w:val="22"/>
        </w:rPr>
        <w:t xml:space="preserve"> </w:t>
      </w:r>
    </w:p>
    <w:p w:rsidR="00725CD0" w:rsidRPr="00C54F73" w:rsidRDefault="00725CD0" w:rsidP="00205EDA">
      <w:pPr>
        <w:tabs>
          <w:tab w:val="left" w:pos="0"/>
        </w:tabs>
        <w:autoSpaceDE w:val="0"/>
        <w:autoSpaceDN w:val="0"/>
        <w:adjustRightInd w:val="0"/>
        <w:jc w:val="both"/>
        <w:rPr>
          <w:rFonts w:ascii="Cambria" w:hAnsi="Cambria"/>
          <w:sz w:val="22"/>
          <w:szCs w:val="22"/>
        </w:rPr>
      </w:pPr>
      <w:r>
        <w:rPr>
          <w:rFonts w:ascii="Cambria" w:hAnsi="Cambria"/>
          <w:sz w:val="22"/>
          <w:szCs w:val="22"/>
        </w:rPr>
        <w:tab/>
      </w:r>
      <w:r w:rsidRPr="00725CD0">
        <w:rPr>
          <w:rFonts w:ascii="Cambria" w:hAnsi="Cambria"/>
          <w:sz w:val="22"/>
          <w:szCs w:val="22"/>
        </w:rPr>
        <w:t xml:space="preserve">Водещи насоки в работата на МВнР и задграничните представителства продължиха да бъдат: заемане на активна позиция и принос на страната по политиките в рамките на ЕС и НАТО; силна подкрепа за очертаващия се нов етап в трансатлантическото партньорство; ангажираност с принципите на върховенството на закона, правата на човека, демокрацията, международното право и </w:t>
      </w:r>
      <w:proofErr w:type="spellStart"/>
      <w:r w:rsidRPr="00725CD0">
        <w:rPr>
          <w:rFonts w:ascii="Cambria" w:hAnsi="Cambria"/>
          <w:sz w:val="22"/>
          <w:szCs w:val="22"/>
        </w:rPr>
        <w:t>мултилатерализма</w:t>
      </w:r>
      <w:proofErr w:type="spellEnd"/>
      <w:r w:rsidRPr="00725CD0">
        <w:rPr>
          <w:rFonts w:ascii="Cambria" w:hAnsi="Cambria"/>
          <w:sz w:val="22"/>
          <w:szCs w:val="22"/>
        </w:rPr>
        <w:t xml:space="preserve"> при решаването на глобалните проблеми; активна и видима защита на интересите на </w:t>
      </w:r>
      <w:r w:rsidR="0087668C">
        <w:rPr>
          <w:rFonts w:ascii="Cambria" w:hAnsi="Cambria"/>
          <w:sz w:val="22"/>
          <w:szCs w:val="22"/>
        </w:rPr>
        <w:t xml:space="preserve">българските общности зад граница и на </w:t>
      </w:r>
      <w:r w:rsidRPr="00725CD0">
        <w:rPr>
          <w:rFonts w:ascii="Cambria" w:hAnsi="Cambria"/>
          <w:sz w:val="22"/>
          <w:szCs w:val="22"/>
        </w:rPr>
        <w:t>българските граждани</w:t>
      </w:r>
      <w:r w:rsidR="0087668C">
        <w:rPr>
          <w:rFonts w:ascii="Cambria" w:hAnsi="Cambria"/>
          <w:sz w:val="22"/>
          <w:szCs w:val="22"/>
        </w:rPr>
        <w:t xml:space="preserve"> в чужбина</w:t>
      </w:r>
      <w:r w:rsidRPr="00725CD0">
        <w:rPr>
          <w:rFonts w:ascii="Cambria" w:hAnsi="Cambria"/>
          <w:sz w:val="22"/>
          <w:szCs w:val="22"/>
        </w:rPr>
        <w:t xml:space="preserve">, в т.ч. </w:t>
      </w:r>
      <w:r w:rsidR="0087668C">
        <w:rPr>
          <w:rFonts w:ascii="Cambria" w:hAnsi="Cambria"/>
          <w:sz w:val="22"/>
          <w:szCs w:val="22"/>
        </w:rPr>
        <w:t xml:space="preserve">чрез </w:t>
      </w:r>
      <w:r w:rsidRPr="00725CD0">
        <w:rPr>
          <w:rFonts w:ascii="Cambria" w:hAnsi="Cambria"/>
          <w:sz w:val="22"/>
          <w:szCs w:val="22"/>
        </w:rPr>
        <w:t>облекчаване на административната тежест при консулските услуги и др.</w:t>
      </w:r>
    </w:p>
    <w:p w:rsidR="004928CB" w:rsidRPr="00725CD0" w:rsidRDefault="009D47A9" w:rsidP="00205EDA">
      <w:pPr>
        <w:tabs>
          <w:tab w:val="left" w:pos="0"/>
        </w:tabs>
        <w:autoSpaceDE w:val="0"/>
        <w:autoSpaceDN w:val="0"/>
        <w:adjustRightInd w:val="0"/>
        <w:jc w:val="both"/>
        <w:rPr>
          <w:rFonts w:ascii="Cambria" w:eastAsia="MS Mincho" w:hAnsi="Cambria"/>
          <w:iCs/>
          <w:sz w:val="22"/>
          <w:szCs w:val="22"/>
          <w:lang w:eastAsia="en-US"/>
        </w:rPr>
      </w:pPr>
      <w:r w:rsidRPr="00C54F73">
        <w:rPr>
          <w:rFonts w:ascii="Cambria" w:hAnsi="Cambria"/>
          <w:sz w:val="22"/>
          <w:szCs w:val="22"/>
        </w:rPr>
        <w:tab/>
      </w:r>
      <w:r w:rsidR="00AF6E05">
        <w:rPr>
          <w:rFonts w:ascii="Cambria" w:hAnsi="Cambria"/>
          <w:sz w:val="22"/>
          <w:szCs w:val="22"/>
        </w:rPr>
        <w:t>Пандемията</w:t>
      </w:r>
      <w:r w:rsidR="00AF6E05" w:rsidRPr="00AF6E05">
        <w:rPr>
          <w:rFonts w:ascii="Cambria" w:hAnsi="Cambria"/>
          <w:sz w:val="22"/>
          <w:szCs w:val="22"/>
        </w:rPr>
        <w:t xml:space="preserve"> продължи да оказва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w:t>
      </w:r>
      <w:r w:rsidR="005F6C15" w:rsidRPr="005F6C15">
        <w:rPr>
          <w:rFonts w:ascii="Cambria" w:hAnsi="Cambria"/>
          <w:sz w:val="22"/>
          <w:szCs w:val="22"/>
        </w:rPr>
        <w:t xml:space="preserve"> </w:t>
      </w:r>
      <w:r w:rsidR="005F6C15" w:rsidRPr="005F6C15">
        <w:rPr>
          <w:rFonts w:ascii="Cambria" w:hAnsi="Cambria"/>
          <w:iCs/>
          <w:sz w:val="22"/>
          <w:szCs w:val="22"/>
        </w:rPr>
        <w:t>Българската позиция се базира върху</w:t>
      </w:r>
      <w:r w:rsidR="004928CB" w:rsidRPr="005F6C15">
        <w:rPr>
          <w:rFonts w:ascii="Cambria" w:hAnsi="Cambria"/>
          <w:iCs/>
          <w:sz w:val="22"/>
          <w:szCs w:val="22"/>
        </w:rPr>
        <w:t xml:space="preserve"> </w:t>
      </w:r>
      <w:r w:rsidR="004928CB" w:rsidRPr="00C54F73">
        <w:rPr>
          <w:rFonts w:ascii="Cambria" w:eastAsia="MS Mincho" w:hAnsi="Cambria"/>
          <w:iCs/>
          <w:sz w:val="22"/>
          <w:szCs w:val="22"/>
          <w:lang w:eastAsia="en-US"/>
        </w:rPr>
        <w:t xml:space="preserve">принципите на солидарност и недопускане задълбочаване на различията и създаване на нови разделения в ЕС. </w:t>
      </w:r>
      <w:r w:rsidR="00AF6E05" w:rsidRPr="00AF6E05">
        <w:rPr>
          <w:rFonts w:ascii="Cambria" w:eastAsia="MS Mincho" w:hAnsi="Cambria"/>
          <w:iCs/>
          <w:sz w:val="22"/>
          <w:szCs w:val="22"/>
          <w:lang w:eastAsia="en-US"/>
        </w:rPr>
        <w:t>Основен приоритет за страната ни бе това ЕС да остане единен и да излезе от кризата по-силен и по-подготвен</w:t>
      </w:r>
      <w:r w:rsidR="004928CB" w:rsidRPr="00C54F73">
        <w:rPr>
          <w:rFonts w:ascii="Cambria" w:eastAsia="MS Mincho" w:hAnsi="Cambria"/>
          <w:iCs/>
          <w:sz w:val="22"/>
          <w:szCs w:val="22"/>
          <w:lang w:eastAsia="en-US"/>
        </w:rPr>
        <w:t xml:space="preserve">. </w:t>
      </w:r>
      <w:r w:rsidR="00725CD0" w:rsidRPr="00725CD0">
        <w:rPr>
          <w:rFonts w:ascii="Cambria" w:eastAsia="MS Mincho" w:hAnsi="Cambria"/>
          <w:iCs/>
          <w:sz w:val="22"/>
          <w:szCs w:val="22"/>
          <w:lang w:eastAsia="en-US"/>
        </w:rPr>
        <w:t xml:space="preserve">Основен акцент бе поставен върху подготовката на българското участие в редовните и извънредни заседания на Съвет „Външни </w:t>
      </w:r>
      <w:r w:rsidR="00725CD0">
        <w:rPr>
          <w:rFonts w:ascii="Cambria" w:eastAsia="MS Mincho" w:hAnsi="Cambria"/>
          <w:iCs/>
          <w:sz w:val="22"/>
          <w:szCs w:val="22"/>
          <w:lang w:eastAsia="en-US"/>
        </w:rPr>
        <w:t xml:space="preserve">работи” и Съвет „Общи въпроси“, </w:t>
      </w:r>
      <w:r w:rsidR="00AF6E05" w:rsidRPr="00AF6E05">
        <w:rPr>
          <w:rFonts w:ascii="Cambria" w:eastAsia="MS Mincho" w:hAnsi="Cambria"/>
          <w:iCs/>
          <w:sz w:val="22"/>
          <w:szCs w:val="22"/>
          <w:lang w:eastAsia="en-US"/>
        </w:rPr>
        <w:t>както и на неформалн</w:t>
      </w:r>
      <w:r w:rsidR="00AF6E05">
        <w:rPr>
          <w:rFonts w:ascii="Cambria" w:eastAsia="MS Mincho" w:hAnsi="Cambria"/>
          <w:iCs/>
          <w:sz w:val="22"/>
          <w:szCs w:val="22"/>
          <w:lang w:eastAsia="en-US"/>
        </w:rPr>
        <w:t>а</w:t>
      </w:r>
      <w:r w:rsidR="00AF6E05" w:rsidRPr="00AF6E05">
        <w:rPr>
          <w:rFonts w:ascii="Cambria" w:eastAsia="MS Mincho" w:hAnsi="Cambria"/>
          <w:iCs/>
          <w:sz w:val="22"/>
          <w:szCs w:val="22"/>
          <w:lang w:eastAsia="en-US"/>
        </w:rPr>
        <w:t>т</w:t>
      </w:r>
      <w:r w:rsidR="00AF6E05">
        <w:rPr>
          <w:rFonts w:ascii="Cambria" w:eastAsia="MS Mincho" w:hAnsi="Cambria"/>
          <w:iCs/>
          <w:sz w:val="22"/>
          <w:szCs w:val="22"/>
          <w:lang w:eastAsia="en-US"/>
        </w:rPr>
        <w:t>а</w:t>
      </w:r>
      <w:r w:rsidR="00AF6E05" w:rsidRPr="00AF6E05">
        <w:rPr>
          <w:rFonts w:ascii="Cambria" w:eastAsia="MS Mincho" w:hAnsi="Cambria"/>
          <w:iCs/>
          <w:sz w:val="22"/>
          <w:szCs w:val="22"/>
          <w:lang w:eastAsia="en-US"/>
        </w:rPr>
        <w:t xml:space="preserve"> срещ</w:t>
      </w:r>
      <w:r w:rsidR="00AF6E05">
        <w:rPr>
          <w:rFonts w:ascii="Cambria" w:eastAsia="MS Mincho" w:hAnsi="Cambria"/>
          <w:iCs/>
          <w:sz w:val="22"/>
          <w:szCs w:val="22"/>
          <w:lang w:eastAsia="en-US"/>
        </w:rPr>
        <w:t>а</w:t>
      </w:r>
      <w:r w:rsidR="00AF6E05" w:rsidRPr="00AF6E05">
        <w:rPr>
          <w:rFonts w:ascii="Cambria" w:eastAsia="MS Mincho" w:hAnsi="Cambria"/>
          <w:iCs/>
          <w:sz w:val="22"/>
          <w:szCs w:val="22"/>
          <w:lang w:eastAsia="en-US"/>
        </w:rPr>
        <w:t xml:space="preserve"> на министрите на външните работи „</w:t>
      </w:r>
      <w:proofErr w:type="spellStart"/>
      <w:r w:rsidR="00AF6E05" w:rsidRPr="00AF6E05">
        <w:rPr>
          <w:rFonts w:ascii="Cambria" w:eastAsia="MS Mincho" w:hAnsi="Cambria"/>
          <w:iCs/>
          <w:sz w:val="22"/>
          <w:szCs w:val="22"/>
          <w:lang w:eastAsia="en-US"/>
        </w:rPr>
        <w:t>Гимних</w:t>
      </w:r>
      <w:proofErr w:type="spellEnd"/>
      <w:r w:rsidR="00AF6E05" w:rsidRPr="00AF6E05">
        <w:rPr>
          <w:rFonts w:ascii="Cambria" w:eastAsia="MS Mincho" w:hAnsi="Cambria"/>
          <w:iCs/>
          <w:sz w:val="22"/>
          <w:szCs w:val="22"/>
          <w:lang w:eastAsia="en-US"/>
        </w:rPr>
        <w:t>“. Разглежданите теми и приети решения обхващаха</w:t>
      </w:r>
      <w:r w:rsidR="00EB3869">
        <w:rPr>
          <w:rFonts w:ascii="Cambria" w:eastAsia="MS Mincho" w:hAnsi="Cambria"/>
          <w:iCs/>
          <w:sz w:val="22"/>
          <w:szCs w:val="22"/>
          <w:lang w:eastAsia="en-US"/>
        </w:rPr>
        <w:t>,</w:t>
      </w:r>
      <w:r w:rsidR="00AF6E05" w:rsidRPr="00AF6E05">
        <w:rPr>
          <w:rFonts w:ascii="Cambria" w:eastAsia="MS Mincho" w:hAnsi="Cambria"/>
          <w:iCs/>
          <w:sz w:val="22"/>
          <w:szCs w:val="22"/>
          <w:lang w:eastAsia="en-US"/>
        </w:rPr>
        <w:t xml:space="preserve"> както широк спектър от актуални въпроси, така и стратегически теми и насоки за развитието на отношенията на Европейския съюз с трети страни</w:t>
      </w:r>
      <w:r w:rsidR="002B7DFC" w:rsidRPr="00C54F73">
        <w:rPr>
          <w:rFonts w:ascii="Cambria" w:hAnsi="Cambria"/>
          <w:sz w:val="22"/>
          <w:szCs w:val="22"/>
        </w:rPr>
        <w:t>.</w:t>
      </w:r>
      <w:r w:rsidR="00AF6E05">
        <w:rPr>
          <w:rFonts w:ascii="Cambria" w:hAnsi="Cambria"/>
          <w:sz w:val="22"/>
          <w:szCs w:val="22"/>
        </w:rPr>
        <w:t xml:space="preserve"> </w:t>
      </w:r>
      <w:r w:rsidR="00AF6E05" w:rsidRPr="00AF6E05">
        <w:rPr>
          <w:rFonts w:ascii="Cambria" w:hAnsi="Cambria"/>
          <w:sz w:val="22"/>
          <w:szCs w:val="22"/>
        </w:rPr>
        <w:t xml:space="preserve">В условията на кризата от </w:t>
      </w:r>
      <w:r w:rsidR="00AF6E05" w:rsidRPr="00AF6E05">
        <w:rPr>
          <w:rFonts w:ascii="Cambria" w:hAnsi="Cambria"/>
          <w:sz w:val="22"/>
          <w:szCs w:val="22"/>
          <w:lang w:val="en-US"/>
        </w:rPr>
        <w:t>COVID</w:t>
      </w:r>
      <w:r w:rsidR="00AF6E05" w:rsidRPr="00AF6E05">
        <w:rPr>
          <w:rFonts w:ascii="Cambria" w:hAnsi="Cambria"/>
          <w:sz w:val="22"/>
          <w:szCs w:val="22"/>
        </w:rPr>
        <w:t>-19, България продължи участието си в процеса на формиране и реализация на Общата политика за сигурност и отбрана (ОПСО) на Европейския съюз, като усилията бяха насочени основно към нейното адаптиране към променената ситуация в областта на сигурността</w:t>
      </w:r>
      <w:r w:rsidR="00AF6E05">
        <w:rPr>
          <w:rFonts w:ascii="Cambria" w:hAnsi="Cambria"/>
          <w:sz w:val="22"/>
          <w:szCs w:val="22"/>
        </w:rPr>
        <w:t>.</w:t>
      </w:r>
    </w:p>
    <w:p w:rsidR="00725CD0" w:rsidRPr="00725CD0" w:rsidRDefault="005D3045" w:rsidP="00205EDA">
      <w:pPr>
        <w:tabs>
          <w:tab w:val="left" w:pos="0"/>
        </w:tabs>
        <w:autoSpaceDE w:val="0"/>
        <w:autoSpaceDN w:val="0"/>
        <w:adjustRightInd w:val="0"/>
        <w:jc w:val="both"/>
        <w:rPr>
          <w:rFonts w:ascii="Cambria" w:eastAsia="MS Mincho" w:hAnsi="Cambria"/>
          <w:iCs/>
          <w:sz w:val="22"/>
          <w:szCs w:val="22"/>
          <w:lang w:eastAsia="en-US"/>
        </w:rPr>
      </w:pPr>
      <w:r w:rsidRPr="00C54F73">
        <w:rPr>
          <w:rFonts w:ascii="Cambria" w:eastAsia="MS Mincho" w:hAnsi="Cambria"/>
          <w:iCs/>
          <w:sz w:val="22"/>
          <w:szCs w:val="22"/>
          <w:lang w:eastAsia="en-US"/>
        </w:rPr>
        <w:lastRenderedPageBreak/>
        <w:tab/>
      </w:r>
      <w:r w:rsidR="00725CD0" w:rsidRPr="00725CD0">
        <w:rPr>
          <w:rFonts w:ascii="Cambria" w:eastAsia="MS Mincho" w:hAnsi="Cambria"/>
          <w:iCs/>
          <w:sz w:val="22"/>
          <w:szCs w:val="22"/>
          <w:lang w:eastAsia="en-US"/>
        </w:rPr>
        <w:t xml:space="preserve">България 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В рамките на отчетния период в Съвета на ЕС не бе представен ревизиран проект на Преговорната рамка за Република Северна Македония (РСМ), който да съдържа необходимите защитни за България гаранции съгласно Рамковата позиция на МС от 09.10.2019 г. </w:t>
      </w:r>
      <w:r w:rsidR="006A6C8B">
        <w:rPr>
          <w:rFonts w:ascii="Cambria" w:eastAsia="MS Mincho" w:hAnsi="Cambria"/>
          <w:iCs/>
          <w:sz w:val="22"/>
          <w:szCs w:val="22"/>
          <w:lang w:eastAsia="en-US"/>
        </w:rPr>
        <w:t xml:space="preserve">Поради това </w:t>
      </w:r>
      <w:r w:rsidR="00725CD0" w:rsidRPr="00725CD0">
        <w:rPr>
          <w:rFonts w:ascii="Cambria" w:eastAsia="MS Mincho" w:hAnsi="Cambria"/>
          <w:iCs/>
          <w:sz w:val="22"/>
          <w:szCs w:val="22"/>
          <w:lang w:eastAsia="en-US"/>
        </w:rPr>
        <w:t>България не бе в състояние да подкрепи приемането на Преговорната рамка</w:t>
      </w:r>
      <w:r w:rsidR="00012178">
        <w:rPr>
          <w:rFonts w:ascii="Cambria" w:eastAsia="MS Mincho" w:hAnsi="Cambria"/>
          <w:iCs/>
          <w:sz w:val="22"/>
          <w:szCs w:val="22"/>
          <w:lang w:eastAsia="en-US"/>
        </w:rPr>
        <w:t>, въпреки усилията, положени от Португалското председателство на Съвета на ЕС</w:t>
      </w:r>
      <w:r w:rsidR="00725CD0" w:rsidRPr="00725CD0">
        <w:rPr>
          <w:rFonts w:ascii="Cambria" w:eastAsia="MS Mincho" w:hAnsi="Cambria"/>
          <w:iCs/>
          <w:sz w:val="22"/>
          <w:szCs w:val="22"/>
          <w:lang w:eastAsia="en-US"/>
        </w:rPr>
        <w:t xml:space="preserve">. </w:t>
      </w:r>
      <w:r w:rsidR="006A6C8B">
        <w:rPr>
          <w:rFonts w:ascii="Cambria" w:eastAsia="MS Mincho" w:hAnsi="Cambria"/>
          <w:iCs/>
          <w:sz w:val="22"/>
          <w:szCs w:val="22"/>
          <w:lang w:eastAsia="en-US"/>
        </w:rPr>
        <w:t xml:space="preserve">Българската дипломация </w:t>
      </w:r>
      <w:r w:rsidR="00725CD0" w:rsidRPr="00725CD0">
        <w:rPr>
          <w:rFonts w:ascii="Cambria" w:eastAsia="MS Mincho" w:hAnsi="Cambria"/>
          <w:iCs/>
          <w:sz w:val="22"/>
          <w:szCs w:val="22"/>
          <w:lang w:eastAsia="en-US"/>
        </w:rPr>
        <w:t>положи последователни усилия за активизиране на двустранния диалог с РСМ на всички нива и разясняване на българската позиция пред европейските ни партньори на ниво ЕС, при двустранни срещи, чрез посолствата на държавите-членки на ЕС в България и българските посолства в ДЧЕС.</w:t>
      </w:r>
    </w:p>
    <w:p w:rsidR="0063500E" w:rsidRDefault="00725CD0" w:rsidP="00205EDA">
      <w:pPr>
        <w:tabs>
          <w:tab w:val="left" w:pos="0"/>
        </w:tabs>
        <w:autoSpaceDE w:val="0"/>
        <w:autoSpaceDN w:val="0"/>
        <w:adjustRightInd w:val="0"/>
        <w:jc w:val="both"/>
        <w:rPr>
          <w:rFonts w:ascii="Cambria" w:eastAsia="MS Mincho" w:hAnsi="Cambria"/>
          <w:iCs/>
          <w:sz w:val="22"/>
          <w:szCs w:val="22"/>
          <w:lang w:eastAsia="en-US"/>
        </w:rPr>
      </w:pPr>
      <w:r>
        <w:rPr>
          <w:rFonts w:ascii="Cambria" w:eastAsia="MS Mincho" w:hAnsi="Cambria"/>
          <w:iCs/>
          <w:sz w:val="22"/>
          <w:szCs w:val="22"/>
          <w:lang w:eastAsia="en-US"/>
        </w:rPr>
        <w:tab/>
      </w:r>
      <w:r w:rsidR="0063500E">
        <w:rPr>
          <w:rFonts w:ascii="Cambria" w:eastAsia="MS Mincho" w:hAnsi="Cambria"/>
          <w:iCs/>
          <w:sz w:val="22"/>
          <w:szCs w:val="22"/>
          <w:lang w:eastAsia="en-US"/>
        </w:rPr>
        <w:t xml:space="preserve">Страната ни </w:t>
      </w:r>
      <w:r w:rsidRPr="00725CD0">
        <w:rPr>
          <w:rFonts w:ascii="Cambria" w:eastAsia="MS Mincho" w:hAnsi="Cambria"/>
          <w:iCs/>
          <w:sz w:val="22"/>
          <w:szCs w:val="22"/>
          <w:lang w:eastAsia="en-US"/>
        </w:rPr>
        <w:t xml:space="preserve">продължи активното си участие във формирането и осъществяването на политиките на НАТО за гарантиране на надеждно възпиране и отбрана. </w:t>
      </w:r>
      <w:r w:rsidR="0063500E" w:rsidRPr="0063500E">
        <w:rPr>
          <w:rFonts w:ascii="Cambria" w:eastAsia="MS Mincho" w:hAnsi="Cambria"/>
          <w:iCs/>
          <w:sz w:val="22"/>
          <w:szCs w:val="22"/>
          <w:lang w:eastAsia="en-US"/>
        </w:rPr>
        <w:t>На 14 юни 2021 г. в Брюксел се проведе присъствена среща на държавните и правителствените ръководители на НАТО</w:t>
      </w:r>
      <w:r w:rsidR="0063500E">
        <w:rPr>
          <w:rFonts w:ascii="Cambria" w:eastAsia="MS Mincho" w:hAnsi="Cambria"/>
          <w:iCs/>
          <w:sz w:val="22"/>
          <w:szCs w:val="22"/>
          <w:lang w:eastAsia="en-US"/>
        </w:rPr>
        <w:t xml:space="preserve"> с у</w:t>
      </w:r>
      <w:r w:rsidR="0063500E" w:rsidRPr="0063500E">
        <w:rPr>
          <w:rFonts w:ascii="Cambria" w:eastAsia="MS Mincho" w:hAnsi="Cambria"/>
          <w:iCs/>
          <w:sz w:val="22"/>
          <w:szCs w:val="22"/>
          <w:lang w:eastAsia="en-US"/>
        </w:rPr>
        <w:t>частието на президента Румен Радев</w:t>
      </w:r>
      <w:r w:rsidR="00012178">
        <w:rPr>
          <w:rFonts w:ascii="Cambria" w:eastAsia="MS Mincho" w:hAnsi="Cambria"/>
          <w:iCs/>
          <w:sz w:val="22"/>
          <w:szCs w:val="22"/>
          <w:lang w:eastAsia="en-US"/>
        </w:rPr>
        <w:t xml:space="preserve">. Взети бяха </w:t>
      </w:r>
      <w:r w:rsidR="0063500E" w:rsidRPr="0063500E">
        <w:rPr>
          <w:rFonts w:ascii="Cambria" w:eastAsia="MS Mincho" w:hAnsi="Cambria"/>
          <w:iCs/>
          <w:sz w:val="22"/>
          <w:szCs w:val="22"/>
          <w:lang w:eastAsia="en-US"/>
        </w:rPr>
        <w:t xml:space="preserve">решения относно процеса на </w:t>
      </w:r>
      <w:r w:rsidR="00012178">
        <w:rPr>
          <w:rFonts w:ascii="Cambria" w:eastAsia="MS Mincho" w:hAnsi="Cambria"/>
          <w:iCs/>
          <w:sz w:val="22"/>
          <w:szCs w:val="22"/>
          <w:lang w:eastAsia="en-US"/>
        </w:rPr>
        <w:t>адаптация на НАТО 2030, потвърдена бе</w:t>
      </w:r>
      <w:r w:rsidR="0063500E" w:rsidRPr="0063500E">
        <w:rPr>
          <w:rFonts w:ascii="Cambria" w:eastAsia="MS Mincho" w:hAnsi="Cambria"/>
          <w:iCs/>
          <w:sz w:val="22"/>
          <w:szCs w:val="22"/>
          <w:lang w:eastAsia="en-US"/>
        </w:rPr>
        <w:t xml:space="preserve"> неизменната роля </w:t>
      </w:r>
      <w:r w:rsidR="00D43235">
        <w:rPr>
          <w:rFonts w:ascii="Cambria" w:eastAsia="MS Mincho" w:hAnsi="Cambria"/>
          <w:iCs/>
          <w:sz w:val="22"/>
          <w:szCs w:val="22"/>
          <w:lang w:eastAsia="en-US"/>
        </w:rPr>
        <w:t xml:space="preserve">на </w:t>
      </w:r>
      <w:r w:rsidR="0063500E" w:rsidRPr="0063500E">
        <w:rPr>
          <w:rFonts w:ascii="Cambria" w:eastAsia="MS Mincho" w:hAnsi="Cambria"/>
          <w:iCs/>
          <w:sz w:val="22"/>
          <w:szCs w:val="22"/>
          <w:lang w:eastAsia="en-US"/>
        </w:rPr>
        <w:t>Алианса за гарантиране на евроатлантическата сигурност и международния правов ред, и</w:t>
      </w:r>
      <w:r w:rsidR="00012178">
        <w:rPr>
          <w:rFonts w:ascii="Cambria" w:eastAsia="MS Mincho" w:hAnsi="Cambria"/>
          <w:iCs/>
          <w:sz w:val="22"/>
          <w:szCs w:val="22"/>
          <w:lang w:eastAsia="en-US"/>
        </w:rPr>
        <w:t xml:space="preserve"> бе</w:t>
      </w:r>
      <w:r w:rsidR="0063500E" w:rsidRPr="0063500E">
        <w:rPr>
          <w:rFonts w:ascii="Cambria" w:eastAsia="MS Mincho" w:hAnsi="Cambria"/>
          <w:iCs/>
          <w:sz w:val="22"/>
          <w:szCs w:val="22"/>
          <w:lang w:eastAsia="en-US"/>
        </w:rPr>
        <w:t xml:space="preserve"> излъч</w:t>
      </w:r>
      <w:r w:rsidR="00012178">
        <w:rPr>
          <w:rFonts w:ascii="Cambria" w:eastAsia="MS Mincho" w:hAnsi="Cambria"/>
          <w:iCs/>
          <w:sz w:val="22"/>
          <w:szCs w:val="22"/>
          <w:lang w:eastAsia="en-US"/>
        </w:rPr>
        <w:t>ен</w:t>
      </w:r>
      <w:r w:rsidR="0063500E" w:rsidRPr="0063500E">
        <w:rPr>
          <w:rFonts w:ascii="Cambria" w:eastAsia="MS Mincho" w:hAnsi="Cambria"/>
          <w:iCs/>
          <w:sz w:val="22"/>
          <w:szCs w:val="22"/>
          <w:lang w:eastAsia="en-US"/>
        </w:rPr>
        <w:t xml:space="preserve"> ясен сигнал за единство.</w:t>
      </w:r>
    </w:p>
    <w:p w:rsidR="0063500E" w:rsidRDefault="0063500E" w:rsidP="00205EDA">
      <w:pPr>
        <w:tabs>
          <w:tab w:val="left" w:pos="0"/>
        </w:tabs>
        <w:autoSpaceDE w:val="0"/>
        <w:autoSpaceDN w:val="0"/>
        <w:adjustRightInd w:val="0"/>
        <w:jc w:val="both"/>
        <w:rPr>
          <w:rFonts w:ascii="Cambria" w:eastAsia="MS Mincho" w:hAnsi="Cambria"/>
          <w:iCs/>
          <w:sz w:val="22"/>
          <w:szCs w:val="22"/>
          <w:lang w:eastAsia="en-US"/>
        </w:rPr>
      </w:pPr>
      <w:r>
        <w:rPr>
          <w:rFonts w:ascii="Cambria" w:eastAsia="MS Mincho" w:hAnsi="Cambria"/>
          <w:iCs/>
          <w:sz w:val="22"/>
          <w:szCs w:val="22"/>
          <w:lang w:eastAsia="en-US"/>
        </w:rPr>
        <w:tab/>
      </w:r>
      <w:r w:rsidRPr="0063500E">
        <w:rPr>
          <w:rFonts w:ascii="Cambria" w:eastAsia="MS Mincho" w:hAnsi="Cambria"/>
          <w:iCs/>
          <w:sz w:val="22"/>
          <w:szCs w:val="22"/>
          <w:lang w:eastAsia="en-US"/>
        </w:rPr>
        <w:t>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и при изготвянето на общи позиции на ЕС по въпроси на ООН чрез провеждане на двустранни и многостранни срещи по актуални въпроси от дневния ред на Световната организация. Започна третата година от членството на България в Съвета по правата на човека на ООН (СПЧ). МВнР подготви участието на българската делегация в 46-та и 47-та редовни сесии на СПЧ, както и в 29-та и 30-та специални сесии на Съвета</w:t>
      </w:r>
      <w:r>
        <w:rPr>
          <w:rFonts w:ascii="Cambria" w:eastAsia="MS Mincho" w:hAnsi="Cambria"/>
          <w:iCs/>
          <w:sz w:val="22"/>
          <w:szCs w:val="22"/>
          <w:lang w:eastAsia="en-US"/>
        </w:rPr>
        <w:t>.</w:t>
      </w:r>
    </w:p>
    <w:p w:rsidR="0040270E" w:rsidRPr="00C54F73" w:rsidRDefault="0063500E" w:rsidP="00205EDA">
      <w:pPr>
        <w:tabs>
          <w:tab w:val="left" w:pos="0"/>
        </w:tabs>
        <w:autoSpaceDE w:val="0"/>
        <w:autoSpaceDN w:val="0"/>
        <w:adjustRightInd w:val="0"/>
        <w:jc w:val="both"/>
        <w:rPr>
          <w:rFonts w:ascii="Cambria" w:eastAsia="MS Mincho" w:hAnsi="Cambria"/>
          <w:iCs/>
          <w:sz w:val="22"/>
          <w:szCs w:val="22"/>
          <w:lang w:eastAsia="en-US"/>
        </w:rPr>
      </w:pPr>
      <w:r>
        <w:rPr>
          <w:rFonts w:ascii="Cambria" w:eastAsia="MS Mincho" w:hAnsi="Cambria"/>
          <w:iCs/>
          <w:sz w:val="22"/>
          <w:szCs w:val="22"/>
          <w:lang w:eastAsia="en-US"/>
        </w:rPr>
        <w:tab/>
      </w:r>
      <w:r w:rsidRPr="0063500E">
        <w:rPr>
          <w:rFonts w:ascii="Cambria" w:eastAsia="MS Mincho" w:hAnsi="Cambria"/>
          <w:iCs/>
          <w:sz w:val="22"/>
          <w:szCs w:val="22"/>
          <w:lang w:eastAsia="en-US"/>
        </w:rPr>
        <w:t xml:space="preserve">През първата половина на 2021 г. страната ни продължи да задълбочава двустранните политически, икономически и културни отношения със страните от Югоизточна Европа. Централно място продължи да заема темата за европейската перспектива и свързаността на страните от Западните Балкани. Политическият диалог през първата половина на 2021 г. продължи да бъде интензивен, като бяха реализирани срещи и визити на високо и най-високо равнище, на двустранно и регионално ниво. </w:t>
      </w:r>
      <w:r w:rsidR="00256FD2" w:rsidRPr="00256FD2">
        <w:rPr>
          <w:rFonts w:ascii="Cambria" w:eastAsia="MS Mincho" w:hAnsi="Cambria"/>
          <w:iCs/>
          <w:sz w:val="22"/>
          <w:szCs w:val="22"/>
          <w:lang w:eastAsia="en-US"/>
        </w:rPr>
        <w:t>България успешно продължи да утвърждава имиджа си на надежден и отговорен партньор във всички формати и инициативи за регионално сътрудничество в Югоизточна Европа – Процес</w:t>
      </w:r>
      <w:r w:rsidR="00EC7C8F">
        <w:rPr>
          <w:rFonts w:ascii="Cambria" w:eastAsia="MS Mincho" w:hAnsi="Cambria"/>
          <w:iCs/>
          <w:sz w:val="22"/>
          <w:szCs w:val="22"/>
          <w:lang w:eastAsia="en-US"/>
        </w:rPr>
        <w:t>а</w:t>
      </w:r>
      <w:r w:rsidR="00256FD2" w:rsidRPr="00256FD2">
        <w:rPr>
          <w:rFonts w:ascii="Cambria" w:eastAsia="MS Mincho" w:hAnsi="Cambria"/>
          <w:iCs/>
          <w:sz w:val="22"/>
          <w:szCs w:val="22"/>
          <w:lang w:eastAsia="en-US"/>
        </w:rPr>
        <w:t xml:space="preserve"> за сътрудничество в Югоизточна Европа (ПСЮИЕ), Съвет</w:t>
      </w:r>
      <w:r w:rsidR="00EC7C8F">
        <w:rPr>
          <w:rFonts w:ascii="Cambria" w:eastAsia="MS Mincho" w:hAnsi="Cambria"/>
          <w:iCs/>
          <w:sz w:val="22"/>
          <w:szCs w:val="22"/>
          <w:lang w:eastAsia="en-US"/>
        </w:rPr>
        <w:t>а</w:t>
      </w:r>
      <w:r w:rsidR="00256FD2" w:rsidRPr="00256FD2">
        <w:rPr>
          <w:rFonts w:ascii="Cambria" w:eastAsia="MS Mincho" w:hAnsi="Cambria"/>
          <w:iCs/>
          <w:sz w:val="22"/>
          <w:szCs w:val="22"/>
          <w:lang w:eastAsia="en-US"/>
        </w:rPr>
        <w:t xml:space="preserve"> за регионално сътрудничество (СРС), Организация</w:t>
      </w:r>
      <w:r w:rsidR="00EC7C8F">
        <w:rPr>
          <w:rFonts w:ascii="Cambria" w:eastAsia="MS Mincho" w:hAnsi="Cambria"/>
          <w:iCs/>
          <w:sz w:val="22"/>
          <w:szCs w:val="22"/>
          <w:lang w:eastAsia="en-US"/>
        </w:rPr>
        <w:t>та</w:t>
      </w:r>
      <w:r w:rsidR="00256FD2" w:rsidRPr="00256FD2">
        <w:rPr>
          <w:rFonts w:ascii="Cambria" w:eastAsia="MS Mincho" w:hAnsi="Cambria"/>
          <w:iCs/>
          <w:sz w:val="22"/>
          <w:szCs w:val="22"/>
          <w:lang w:eastAsia="en-US"/>
        </w:rPr>
        <w:t xml:space="preserve"> за Черноморско икономическо сътрудничество (ЧИС). Активното и рационално взаимодействие в рамките на съществуващите механизми за сътрудничество е първостепенен приоритет за страната ни и от решаващо значение за постигане на дълготрайна сигурност, стабилност и просперитет в Югоизточна Европа</w:t>
      </w:r>
      <w:r w:rsidR="0040270E" w:rsidRPr="00C54F73">
        <w:rPr>
          <w:rFonts w:ascii="Cambria" w:eastAsia="MS Mincho" w:hAnsi="Cambria"/>
          <w:iCs/>
          <w:sz w:val="22"/>
          <w:szCs w:val="22"/>
          <w:lang w:eastAsia="en-US"/>
        </w:rPr>
        <w:t>.</w:t>
      </w:r>
    </w:p>
    <w:p w:rsidR="00E42835" w:rsidRDefault="005D3045" w:rsidP="00205EDA">
      <w:pPr>
        <w:tabs>
          <w:tab w:val="left" w:pos="0"/>
        </w:tabs>
        <w:autoSpaceDE w:val="0"/>
        <w:autoSpaceDN w:val="0"/>
        <w:adjustRightInd w:val="0"/>
        <w:jc w:val="both"/>
        <w:rPr>
          <w:rFonts w:ascii="Cambria" w:eastAsia="MS Mincho" w:hAnsi="Cambria"/>
          <w:iCs/>
          <w:sz w:val="22"/>
          <w:szCs w:val="22"/>
          <w:lang w:eastAsia="en-US"/>
        </w:rPr>
      </w:pPr>
      <w:r w:rsidRPr="00C54F73">
        <w:rPr>
          <w:rFonts w:ascii="Cambria" w:eastAsia="MS Mincho" w:hAnsi="Cambria"/>
          <w:iCs/>
          <w:sz w:val="22"/>
          <w:szCs w:val="22"/>
          <w:lang w:eastAsia="en-US"/>
        </w:rPr>
        <w:tab/>
      </w:r>
      <w:r w:rsidR="0057024D" w:rsidRPr="0057024D">
        <w:rPr>
          <w:rFonts w:ascii="Cambria" w:eastAsia="MS Mincho" w:hAnsi="Cambria"/>
          <w:bCs/>
          <w:iCs/>
          <w:sz w:val="22"/>
          <w:szCs w:val="22"/>
          <w:lang w:eastAsia="en-US"/>
        </w:rPr>
        <w:t xml:space="preserve">Приоритетните области на сътрудничеството с </w:t>
      </w:r>
      <w:r w:rsidR="0057024D">
        <w:rPr>
          <w:rFonts w:ascii="Cambria" w:eastAsia="MS Mincho" w:hAnsi="Cambria"/>
          <w:bCs/>
          <w:iCs/>
          <w:sz w:val="22"/>
          <w:szCs w:val="22"/>
          <w:lang w:eastAsia="en-US"/>
        </w:rPr>
        <w:t xml:space="preserve">държавите от Западна и Централна Европа </w:t>
      </w:r>
      <w:r w:rsidR="0057024D" w:rsidRPr="0057024D">
        <w:rPr>
          <w:rFonts w:ascii="Cambria" w:eastAsia="MS Mincho" w:hAnsi="Cambria"/>
          <w:bCs/>
          <w:iCs/>
          <w:sz w:val="22"/>
          <w:szCs w:val="22"/>
          <w:lang w:eastAsia="en-US"/>
        </w:rPr>
        <w:t xml:space="preserve">през </w:t>
      </w:r>
      <w:r w:rsidR="0057024D">
        <w:rPr>
          <w:rFonts w:ascii="Cambria" w:eastAsia="MS Mincho" w:hAnsi="Cambria"/>
          <w:bCs/>
          <w:iCs/>
          <w:sz w:val="22"/>
          <w:szCs w:val="22"/>
          <w:lang w:eastAsia="en-US"/>
        </w:rPr>
        <w:t xml:space="preserve">първата половина на 2021 г. </w:t>
      </w:r>
      <w:r w:rsidR="0057024D" w:rsidRPr="0057024D">
        <w:rPr>
          <w:rFonts w:ascii="Cambria" w:eastAsia="MS Mincho" w:hAnsi="Cambria"/>
          <w:bCs/>
          <w:iCs/>
          <w:sz w:val="22"/>
          <w:szCs w:val="22"/>
          <w:lang w:eastAsia="en-US"/>
        </w:rPr>
        <w:t xml:space="preserve">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 </w:t>
      </w:r>
      <w:r w:rsidR="0063500E">
        <w:rPr>
          <w:rFonts w:ascii="Cambria" w:eastAsia="MS Mincho" w:hAnsi="Cambria"/>
          <w:bCs/>
          <w:iCs/>
          <w:sz w:val="22"/>
          <w:szCs w:val="22"/>
          <w:lang w:eastAsia="en-US"/>
        </w:rPr>
        <w:t xml:space="preserve">Страната ни полага последователни </w:t>
      </w:r>
      <w:r w:rsidR="0057024D" w:rsidRPr="0057024D">
        <w:rPr>
          <w:rFonts w:ascii="Cambria" w:eastAsia="MS Mincho" w:hAnsi="Cambria"/>
          <w:bCs/>
          <w:iCs/>
          <w:sz w:val="22"/>
          <w:szCs w:val="22"/>
          <w:lang w:eastAsia="en-US"/>
        </w:rPr>
        <w:t>усилията за получаване на политическа и икономическа подкрепа по въпроси от интерес за</w:t>
      </w:r>
      <w:r w:rsidR="0063500E">
        <w:rPr>
          <w:rFonts w:ascii="Cambria" w:eastAsia="MS Mincho" w:hAnsi="Cambria"/>
          <w:bCs/>
          <w:iCs/>
          <w:sz w:val="22"/>
          <w:szCs w:val="22"/>
          <w:lang w:eastAsia="en-US"/>
        </w:rPr>
        <w:t xml:space="preserve"> България</w:t>
      </w:r>
      <w:r w:rsidR="0057024D" w:rsidRPr="0057024D">
        <w:rPr>
          <w:rFonts w:ascii="Cambria" w:eastAsia="MS Mincho" w:hAnsi="Cambria"/>
          <w:bCs/>
          <w:iCs/>
          <w:sz w:val="22"/>
          <w:szCs w:val="22"/>
          <w:lang w:eastAsia="en-US"/>
        </w:rPr>
        <w:t>, както и за разширяване на сътрудничеството с европейските държави</w:t>
      </w:r>
      <w:r w:rsidR="0063500E">
        <w:rPr>
          <w:rFonts w:ascii="Cambria" w:eastAsia="MS Mincho" w:hAnsi="Cambria"/>
          <w:bCs/>
          <w:iCs/>
          <w:sz w:val="22"/>
          <w:szCs w:val="22"/>
          <w:lang w:eastAsia="en-US"/>
        </w:rPr>
        <w:t xml:space="preserve"> с цел </w:t>
      </w:r>
      <w:r w:rsidR="0057024D" w:rsidRPr="0057024D">
        <w:rPr>
          <w:rFonts w:ascii="Cambria" w:eastAsia="MS Mincho" w:hAnsi="Cambria"/>
          <w:bCs/>
          <w:iCs/>
          <w:sz w:val="22"/>
          <w:szCs w:val="22"/>
          <w:lang w:eastAsia="en-US"/>
        </w:rPr>
        <w:t>засилване на икономическите резултати за България</w:t>
      </w:r>
      <w:r w:rsidR="0057024D">
        <w:rPr>
          <w:rFonts w:ascii="Cambria" w:eastAsia="MS Mincho" w:hAnsi="Cambria"/>
          <w:bCs/>
          <w:iCs/>
          <w:sz w:val="22"/>
          <w:szCs w:val="22"/>
          <w:lang w:eastAsia="en-US"/>
        </w:rPr>
        <w:t>.</w:t>
      </w:r>
    </w:p>
    <w:p w:rsidR="0063500E" w:rsidRDefault="00805721" w:rsidP="00205EDA">
      <w:pPr>
        <w:tabs>
          <w:tab w:val="left" w:pos="0"/>
        </w:tabs>
        <w:autoSpaceDE w:val="0"/>
        <w:autoSpaceDN w:val="0"/>
        <w:adjustRightInd w:val="0"/>
        <w:jc w:val="both"/>
        <w:rPr>
          <w:rFonts w:ascii="Cambria" w:eastAsia="MS Mincho" w:hAnsi="Cambria"/>
          <w:iCs/>
          <w:sz w:val="22"/>
          <w:szCs w:val="22"/>
          <w:lang w:eastAsia="en-US"/>
        </w:rPr>
      </w:pPr>
      <w:r>
        <w:rPr>
          <w:rFonts w:ascii="Cambria" w:eastAsia="MS Mincho" w:hAnsi="Cambria"/>
          <w:iCs/>
          <w:sz w:val="22"/>
          <w:szCs w:val="22"/>
          <w:lang w:eastAsia="en-US"/>
        </w:rPr>
        <w:lastRenderedPageBreak/>
        <w:tab/>
      </w:r>
      <w:r w:rsidR="007C24C7" w:rsidRPr="007C24C7">
        <w:rPr>
          <w:rFonts w:ascii="Cambria" w:eastAsia="MS Mincho" w:hAnsi="Cambria"/>
          <w:iCs/>
          <w:sz w:val="22"/>
          <w:szCs w:val="22"/>
          <w:lang w:eastAsia="en-US"/>
        </w:rPr>
        <w:t>През първата половина на 2021 г. продължиха последователните усилия за утвърждаване и възходящо развитие на стратегическото партньорство на България със САЩ.</w:t>
      </w:r>
      <w:r w:rsidR="007C24C7">
        <w:rPr>
          <w:rFonts w:ascii="Cambria" w:eastAsia="MS Mincho" w:hAnsi="Cambria"/>
          <w:iCs/>
          <w:sz w:val="22"/>
          <w:szCs w:val="22"/>
          <w:lang w:eastAsia="en-US"/>
        </w:rPr>
        <w:t xml:space="preserve"> </w:t>
      </w:r>
      <w:r w:rsidR="007C24C7" w:rsidRPr="007C24C7">
        <w:rPr>
          <w:rFonts w:ascii="Cambria" w:eastAsia="MS Mincho" w:hAnsi="Cambria"/>
          <w:iCs/>
          <w:sz w:val="22"/>
          <w:szCs w:val="22"/>
          <w:lang w:eastAsia="en-US"/>
        </w:rPr>
        <w:t>Двустранният дневен ред традиционно обхваща широк кръг от въпроси, сред които: сътрудничеството в сферата на сигурността и отбраната, в т.ч. модернизацията на българските въоръжени сили; въпроси на сигурността в регионален аспект; енергийната сигурност и възможностите за диверсификация на източници и маршрути за доставка; приоритетният въпрос за присъединяване на България към Програмата за безвизови пътувания на САЩ; въпросът за започване на преговори за сключване на Споразумение за социална сигурност; осигуряването на подкрепата на САЩ за започване на преговори за присъединяване към ОИСР при първа възможност; двустранните търговско-икономически отношения и възможностите за привличане на преки инвестиции от САЩ в България</w:t>
      </w:r>
      <w:r w:rsidR="004928CB" w:rsidRPr="007C24C7">
        <w:rPr>
          <w:rFonts w:ascii="Cambria" w:eastAsia="MS Mincho" w:hAnsi="Cambria"/>
          <w:iCs/>
          <w:sz w:val="22"/>
          <w:szCs w:val="22"/>
          <w:lang w:eastAsia="en-US"/>
        </w:rPr>
        <w:t xml:space="preserve">. </w:t>
      </w:r>
    </w:p>
    <w:p w:rsidR="0063500E" w:rsidRPr="0063500E" w:rsidRDefault="0063500E" w:rsidP="00205EDA">
      <w:pPr>
        <w:tabs>
          <w:tab w:val="left" w:pos="0"/>
        </w:tabs>
        <w:autoSpaceDE w:val="0"/>
        <w:autoSpaceDN w:val="0"/>
        <w:adjustRightInd w:val="0"/>
        <w:jc w:val="both"/>
        <w:rPr>
          <w:rFonts w:ascii="Cambria" w:eastAsia="MS Mincho" w:hAnsi="Cambria"/>
          <w:iCs/>
          <w:sz w:val="22"/>
          <w:szCs w:val="22"/>
          <w:lang w:eastAsia="en-US"/>
        </w:rPr>
      </w:pPr>
      <w:r>
        <w:rPr>
          <w:rFonts w:ascii="Cambria" w:eastAsia="MS Mincho" w:hAnsi="Cambria"/>
          <w:iCs/>
          <w:sz w:val="22"/>
          <w:szCs w:val="22"/>
          <w:lang w:eastAsia="en-US"/>
        </w:rPr>
        <w:tab/>
      </w:r>
      <w:r w:rsidR="00012178" w:rsidRPr="00012178">
        <w:rPr>
          <w:rFonts w:ascii="Cambria" w:eastAsia="Calibri" w:hAnsi="Cambria" w:cs="Calibri"/>
          <w:sz w:val="22"/>
          <w:szCs w:val="22"/>
          <w:lang w:eastAsia="en-US"/>
        </w:rPr>
        <w:t xml:space="preserve">Важна част от дейността на МВнР през отчетния период бе участието, съвместно с Администрацията на президента, Министерството на икономиката и други компетентни ведомства, в </w:t>
      </w:r>
      <w:r w:rsidR="00012178" w:rsidRPr="008029A0">
        <w:rPr>
          <w:rFonts w:ascii="Cambria" w:eastAsia="Calibri" w:hAnsi="Cambria" w:cs="Calibri"/>
          <w:sz w:val="22"/>
          <w:szCs w:val="22"/>
          <w:lang w:eastAsia="en-US"/>
        </w:rPr>
        <w:t>подготовката на</w:t>
      </w:r>
      <w:r w:rsidR="00012178" w:rsidRPr="00012178">
        <w:rPr>
          <w:rFonts w:ascii="Cambria" w:eastAsia="Calibri" w:hAnsi="Cambria" w:cs="Calibri"/>
          <w:b/>
          <w:sz w:val="22"/>
          <w:szCs w:val="22"/>
          <w:lang w:eastAsia="en-US"/>
        </w:rPr>
        <w:t xml:space="preserve"> домакинството на България на Срещата на върха на регионалната Инициатива „Три морета“ (ИТМ) и съпътстващия Бизнес-форум, проведени на 8-9 юли 2021 г.</w:t>
      </w:r>
      <w:r w:rsidR="00012178" w:rsidRPr="00012178">
        <w:rPr>
          <w:rFonts w:ascii="Cambria" w:eastAsia="Calibri" w:hAnsi="Cambria" w:cs="Calibri"/>
          <w:sz w:val="22"/>
          <w:szCs w:val="22"/>
          <w:lang w:eastAsia="en-US"/>
        </w:rPr>
        <w:t xml:space="preserve"> в София, в които взе</w:t>
      </w:r>
      <w:r w:rsidR="00D43235">
        <w:rPr>
          <w:rFonts w:ascii="Cambria" w:eastAsia="Calibri" w:hAnsi="Cambria" w:cs="Calibri"/>
          <w:sz w:val="22"/>
          <w:szCs w:val="22"/>
          <w:lang w:eastAsia="en-US"/>
        </w:rPr>
        <w:t>ха участие президенти и висши п</w:t>
      </w:r>
      <w:r w:rsidR="00D43235" w:rsidRPr="00012178">
        <w:rPr>
          <w:rFonts w:ascii="Cambria" w:eastAsia="Calibri" w:hAnsi="Cambria" w:cs="Calibri"/>
          <w:sz w:val="22"/>
          <w:szCs w:val="22"/>
          <w:lang w:eastAsia="en-US"/>
        </w:rPr>
        <w:t>редставители</w:t>
      </w:r>
      <w:r w:rsidR="00012178" w:rsidRPr="00012178">
        <w:rPr>
          <w:rFonts w:ascii="Cambria" w:eastAsia="Calibri" w:hAnsi="Cambria" w:cs="Calibri"/>
          <w:sz w:val="22"/>
          <w:szCs w:val="22"/>
          <w:lang w:eastAsia="en-US"/>
        </w:rPr>
        <w:t xml:space="preserve"> на 12-те държави участнички и страни-партньори. В периода от януари до май 2021 г. МВнР изпълняваше ролята на Национален координатор по инициативата, след което оказа пълно съдействие на МИ за поемането на тази роля след 15.05.2021 г. </w:t>
      </w:r>
      <w:r w:rsidR="00D43235" w:rsidRPr="00D43235">
        <w:rPr>
          <w:rFonts w:ascii="Cambria" w:eastAsia="Calibri" w:hAnsi="Cambria" w:cs="Calibri"/>
          <w:sz w:val="22"/>
          <w:szCs w:val="22"/>
          <w:lang w:eastAsia="en-US"/>
        </w:rPr>
        <w:t>С експертно съдействие от МВнР</w:t>
      </w:r>
      <w:bookmarkStart w:id="2" w:name="_GoBack"/>
      <w:bookmarkEnd w:id="2"/>
      <w:r w:rsidRPr="0063500E">
        <w:rPr>
          <w:rFonts w:ascii="Cambria" w:eastAsia="Calibri" w:hAnsi="Cambria" w:cs="Calibri"/>
          <w:sz w:val="22"/>
          <w:szCs w:val="22"/>
          <w:lang w:eastAsia="en-US"/>
        </w:rPr>
        <w:t xml:space="preserve"> бе подготвена приетата на срещата Съвместна декларация на държавните глави, която е израз на общата политическа воля на държавите-участнички за развитие на ИТМ и подобряване на свързаността в региона на Централна и Източна Европа в трите ключови сектора - енергетика, транспорт и дигитализация. Успех за България бе организирането и провеждането на толкова представителен форум, с физическо присъствие, в условията на продължаваща световна пандемия.  </w:t>
      </w:r>
    </w:p>
    <w:p w:rsidR="0063500E" w:rsidRDefault="007B4F64" w:rsidP="00205EDA">
      <w:pPr>
        <w:tabs>
          <w:tab w:val="left" w:pos="0"/>
        </w:tabs>
        <w:jc w:val="both"/>
        <w:rPr>
          <w:rFonts w:ascii="Cambria" w:eastAsia="Calibri" w:hAnsi="Cambria" w:cs="Calibri"/>
          <w:sz w:val="22"/>
          <w:szCs w:val="22"/>
          <w:lang w:eastAsia="en-US"/>
        </w:rPr>
      </w:pPr>
      <w:r>
        <w:rPr>
          <w:rFonts w:ascii="Cambria" w:eastAsia="Calibri" w:hAnsi="Cambria" w:cs="Calibri"/>
          <w:sz w:val="22"/>
          <w:szCs w:val="22"/>
          <w:lang w:eastAsia="en-US"/>
        </w:rPr>
        <w:tab/>
      </w:r>
      <w:r w:rsidR="0063500E">
        <w:rPr>
          <w:rFonts w:ascii="Cambria" w:eastAsia="Calibri" w:hAnsi="Cambria" w:cs="Calibri"/>
          <w:sz w:val="22"/>
          <w:szCs w:val="22"/>
          <w:lang w:eastAsia="en-US"/>
        </w:rPr>
        <w:t xml:space="preserve">През отчетния период </w:t>
      </w:r>
      <w:r w:rsidR="0063500E" w:rsidRPr="007C24C7">
        <w:rPr>
          <w:rFonts w:ascii="Cambria" w:eastAsia="Calibri" w:hAnsi="Cambria" w:cs="Calibri"/>
          <w:sz w:val="22"/>
          <w:szCs w:val="22"/>
          <w:lang w:eastAsia="en-US"/>
        </w:rPr>
        <w:t>МВнР продължи да работи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w:t>
      </w:r>
      <w:r w:rsidR="0063500E" w:rsidRPr="00C54F73">
        <w:rPr>
          <w:rFonts w:ascii="Cambria" w:eastAsia="Calibri" w:hAnsi="Cambria" w:cs="Calibri"/>
          <w:sz w:val="22"/>
          <w:szCs w:val="22"/>
          <w:lang w:eastAsia="en-US"/>
        </w:rPr>
        <w:t xml:space="preserve">. </w:t>
      </w:r>
      <w:r w:rsidR="0063500E" w:rsidRPr="007C24C7">
        <w:rPr>
          <w:rFonts w:ascii="Cambria" w:eastAsia="Calibri" w:hAnsi="Cambria" w:cs="Calibri"/>
          <w:sz w:val="22"/>
          <w:szCs w:val="22"/>
          <w:lang w:eastAsia="en-US"/>
        </w:rPr>
        <w:t>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w:t>
      </w:r>
      <w:r w:rsidR="0063500E">
        <w:rPr>
          <w:rFonts w:ascii="Cambria" w:eastAsia="Calibri" w:hAnsi="Cambria" w:cs="Calibri"/>
          <w:sz w:val="22"/>
          <w:szCs w:val="22"/>
          <w:lang w:eastAsia="en-US"/>
        </w:rPr>
        <w:t xml:space="preserve">. </w:t>
      </w:r>
    </w:p>
    <w:p w:rsidR="008608A3" w:rsidRPr="0063500E" w:rsidRDefault="007B4F64" w:rsidP="00205EDA">
      <w:pPr>
        <w:tabs>
          <w:tab w:val="left" w:pos="0"/>
        </w:tabs>
        <w:jc w:val="both"/>
        <w:rPr>
          <w:rFonts w:ascii="Cambria" w:eastAsia="Calibri" w:hAnsi="Cambria" w:cs="Calibri"/>
          <w:sz w:val="22"/>
          <w:szCs w:val="22"/>
          <w:lang w:eastAsia="en-US"/>
        </w:rPr>
      </w:pPr>
      <w:r>
        <w:rPr>
          <w:rFonts w:ascii="Cambria" w:eastAsia="Calibri" w:hAnsi="Cambria" w:cs="Calibri"/>
          <w:sz w:val="22"/>
          <w:szCs w:val="22"/>
          <w:lang w:eastAsia="en-US"/>
        </w:rPr>
        <w:tab/>
      </w:r>
      <w:r w:rsidR="008608A3" w:rsidRPr="008608A3">
        <w:rPr>
          <w:rFonts w:ascii="Cambria" w:eastAsia="Calibri" w:hAnsi="Cambria" w:cs="Calibri"/>
          <w:sz w:val="22"/>
          <w:szCs w:val="22"/>
          <w:lang w:eastAsia="en-US"/>
        </w:rPr>
        <w:t>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запазване на интензивния диалог с голяма част от партньорите.</w:t>
      </w:r>
      <w:r w:rsidR="008608A3">
        <w:rPr>
          <w:rFonts w:ascii="Cambria" w:eastAsia="Calibri" w:hAnsi="Cambria" w:cs="Calibri"/>
          <w:sz w:val="22"/>
          <w:szCs w:val="22"/>
          <w:lang w:eastAsia="en-US"/>
        </w:rPr>
        <w:t xml:space="preserve"> </w:t>
      </w:r>
    </w:p>
    <w:p w:rsidR="00C54F73" w:rsidRDefault="007C24C7" w:rsidP="00205EDA">
      <w:pPr>
        <w:tabs>
          <w:tab w:val="left" w:pos="0"/>
        </w:tabs>
        <w:jc w:val="both"/>
        <w:rPr>
          <w:rFonts w:ascii="Cambria" w:eastAsia="Calibri" w:hAnsi="Cambria" w:cs="Calibri"/>
          <w:sz w:val="22"/>
          <w:szCs w:val="22"/>
          <w:lang w:eastAsia="en-US"/>
        </w:rPr>
      </w:pPr>
      <w:r>
        <w:rPr>
          <w:rFonts w:ascii="Cambria" w:eastAsia="Calibri" w:hAnsi="Cambria" w:cs="Calibri"/>
          <w:sz w:val="22"/>
          <w:szCs w:val="22"/>
          <w:lang w:eastAsia="en-US"/>
        </w:rPr>
        <w:t xml:space="preserve">Реализирането на целите, заложени в българската </w:t>
      </w:r>
      <w:r w:rsidR="000253BC">
        <w:rPr>
          <w:rFonts w:ascii="Cambria" w:eastAsia="Calibri" w:hAnsi="Cambria" w:cs="Calibri"/>
          <w:sz w:val="22"/>
          <w:szCs w:val="22"/>
          <w:lang w:eastAsia="en-US"/>
        </w:rPr>
        <w:t xml:space="preserve">Средносрочна програма за помощ за развитие и хуманитарна помощ </w:t>
      </w:r>
      <w:r w:rsidR="000253BC" w:rsidRPr="000253BC">
        <w:rPr>
          <w:rFonts w:ascii="Cambria" w:eastAsia="Calibri" w:hAnsi="Cambria" w:cs="Calibri"/>
          <w:sz w:val="22"/>
          <w:szCs w:val="22"/>
          <w:lang w:eastAsia="en-US"/>
        </w:rPr>
        <w:t>продължава да е силно повлияно от разпространението на COVID-19 и необходимостта от оказване на навременна помощ за посрещане на по-спешните нужди на страните-партньори за борба с кризата</w:t>
      </w:r>
      <w:r w:rsidR="00C54F73" w:rsidRPr="00C54F73">
        <w:rPr>
          <w:rFonts w:ascii="Cambria" w:eastAsia="Calibri" w:hAnsi="Cambria" w:cs="Calibri"/>
          <w:sz w:val="22"/>
          <w:szCs w:val="22"/>
          <w:lang w:eastAsia="en-US"/>
        </w:rPr>
        <w:t xml:space="preserve">. </w:t>
      </w:r>
      <w:r w:rsidR="00144FB9">
        <w:rPr>
          <w:rFonts w:ascii="Cambria" w:eastAsia="Calibri" w:hAnsi="Cambria" w:cs="Calibri"/>
          <w:sz w:val="22"/>
          <w:szCs w:val="22"/>
          <w:lang w:eastAsia="en-US"/>
        </w:rPr>
        <w:t xml:space="preserve">През първото полугодие на 2021 г. </w:t>
      </w:r>
      <w:r w:rsidR="00144FB9" w:rsidRPr="00144FB9">
        <w:rPr>
          <w:rFonts w:ascii="Cambria" w:eastAsia="Calibri" w:hAnsi="Cambria" w:cs="Calibri"/>
          <w:bCs/>
          <w:iCs/>
          <w:sz w:val="22"/>
          <w:szCs w:val="22"/>
          <w:lang w:eastAsia="en-US"/>
        </w:rPr>
        <w:t>е изплатена 38.5</w:t>
      </w:r>
      <w:r w:rsidR="00144FB9">
        <w:rPr>
          <w:rFonts w:ascii="Cambria" w:eastAsia="Calibri" w:hAnsi="Cambria" w:cs="Calibri"/>
          <w:bCs/>
          <w:iCs/>
          <w:sz w:val="22"/>
          <w:szCs w:val="22"/>
          <w:lang w:eastAsia="en-US"/>
        </w:rPr>
        <w:t>% от общата сума от 6 000 000</w:t>
      </w:r>
      <w:r w:rsidR="00144FB9" w:rsidRPr="00144FB9">
        <w:rPr>
          <w:rFonts w:ascii="Cambria" w:eastAsia="Calibri" w:hAnsi="Cambria" w:cs="Calibri"/>
          <w:bCs/>
          <w:iCs/>
          <w:sz w:val="22"/>
          <w:szCs w:val="22"/>
          <w:lang w:eastAsia="en-US"/>
        </w:rPr>
        <w:t xml:space="preserve"> лв., </w:t>
      </w:r>
      <w:proofErr w:type="spellStart"/>
      <w:r w:rsidR="00144FB9" w:rsidRPr="00144FB9">
        <w:rPr>
          <w:rFonts w:ascii="Cambria" w:eastAsia="Calibri" w:hAnsi="Cambria" w:cs="Calibri"/>
          <w:bCs/>
          <w:iCs/>
          <w:sz w:val="22"/>
          <w:szCs w:val="22"/>
          <w:lang w:eastAsia="en-US"/>
        </w:rPr>
        <w:t>алокирана</w:t>
      </w:r>
      <w:proofErr w:type="spellEnd"/>
      <w:r w:rsidR="00144FB9" w:rsidRPr="00144FB9">
        <w:rPr>
          <w:rFonts w:ascii="Cambria" w:eastAsia="Calibri" w:hAnsi="Cambria" w:cs="Calibri"/>
          <w:bCs/>
          <w:iCs/>
          <w:sz w:val="22"/>
          <w:szCs w:val="22"/>
          <w:lang w:eastAsia="en-US"/>
        </w:rPr>
        <w:t xml:space="preserve"> на МВнР за</w:t>
      </w:r>
      <w:r w:rsidR="00144FB9" w:rsidRPr="00144FB9">
        <w:rPr>
          <w:rFonts w:ascii="Cambria" w:eastAsia="Calibri" w:hAnsi="Cambria" w:cs="Calibri"/>
          <w:sz w:val="22"/>
          <w:szCs w:val="22"/>
          <w:lang w:eastAsia="en-US"/>
        </w:rPr>
        <w:t xml:space="preserve"> официална</w:t>
      </w:r>
      <w:r w:rsidR="00144FB9">
        <w:rPr>
          <w:rFonts w:ascii="Cambria" w:eastAsia="Calibri" w:hAnsi="Cambria" w:cs="Calibri"/>
          <w:sz w:val="22"/>
          <w:szCs w:val="22"/>
          <w:lang w:eastAsia="en-US"/>
        </w:rPr>
        <w:t>та</w:t>
      </w:r>
      <w:r w:rsidR="00144FB9" w:rsidRPr="00144FB9">
        <w:rPr>
          <w:rFonts w:ascii="Cambria" w:eastAsia="Calibri" w:hAnsi="Cambria" w:cs="Calibri"/>
          <w:sz w:val="22"/>
          <w:szCs w:val="22"/>
          <w:lang w:eastAsia="en-US"/>
        </w:rPr>
        <w:t xml:space="preserve"> помощ за развитие</w:t>
      </w:r>
      <w:r w:rsidR="00144FB9">
        <w:rPr>
          <w:rFonts w:ascii="Cambria" w:eastAsia="Calibri" w:hAnsi="Cambria" w:cs="Calibri"/>
          <w:sz w:val="22"/>
          <w:szCs w:val="22"/>
          <w:lang w:eastAsia="en-US"/>
        </w:rPr>
        <w:t>.</w:t>
      </w:r>
    </w:p>
    <w:p w:rsidR="0063500E" w:rsidRDefault="007B4F64" w:rsidP="00205EDA">
      <w:pPr>
        <w:tabs>
          <w:tab w:val="left" w:pos="0"/>
        </w:tabs>
        <w:jc w:val="both"/>
        <w:rPr>
          <w:rFonts w:ascii="Cambria" w:eastAsia="Calibri" w:hAnsi="Cambria" w:cs="Calibri"/>
          <w:sz w:val="22"/>
          <w:szCs w:val="22"/>
          <w:lang w:eastAsia="en-US"/>
        </w:rPr>
      </w:pPr>
      <w:r>
        <w:rPr>
          <w:rFonts w:ascii="Cambria" w:eastAsia="Calibri" w:hAnsi="Cambria" w:cs="Calibri"/>
          <w:sz w:val="22"/>
          <w:szCs w:val="22"/>
          <w:lang w:eastAsia="en-US"/>
        </w:rPr>
        <w:tab/>
      </w:r>
      <w:r w:rsidR="0063500E" w:rsidRPr="0063500E">
        <w:rPr>
          <w:rFonts w:ascii="Cambria" w:eastAsia="Calibri" w:hAnsi="Cambria" w:cs="Calibri"/>
          <w:sz w:val="22"/>
          <w:szCs w:val="22"/>
          <w:lang w:eastAsia="en-US"/>
        </w:rPr>
        <w:t xml:space="preserve">Не на последно място следва да се отчете ефективната работа </w:t>
      </w:r>
      <w:r w:rsidR="0066020E" w:rsidRPr="0063500E">
        <w:rPr>
          <w:rFonts w:ascii="Cambria" w:eastAsia="Calibri" w:hAnsi="Cambria" w:cs="Calibri"/>
          <w:sz w:val="22"/>
          <w:szCs w:val="22"/>
          <w:lang w:eastAsia="en-US"/>
        </w:rPr>
        <w:t xml:space="preserve">на МВнР </w:t>
      </w:r>
      <w:r w:rsidR="0063500E" w:rsidRPr="0063500E">
        <w:rPr>
          <w:rFonts w:ascii="Cambria" w:eastAsia="Calibri" w:hAnsi="Cambria" w:cs="Calibri"/>
          <w:sz w:val="22"/>
          <w:szCs w:val="22"/>
          <w:lang w:eastAsia="en-US"/>
        </w:rPr>
        <w:t xml:space="preserve">в изпълнение на непрекъснатия ангажимент на държавата по защита на правата на българските граждани – </w:t>
      </w:r>
      <w:r w:rsidRPr="0063500E">
        <w:rPr>
          <w:rFonts w:ascii="Cambria" w:eastAsia="Calibri" w:hAnsi="Cambria" w:cs="Calibri"/>
          <w:sz w:val="22"/>
          <w:szCs w:val="22"/>
          <w:lang w:eastAsia="en-US"/>
        </w:rPr>
        <w:t xml:space="preserve">постоянно </w:t>
      </w:r>
      <w:r w:rsidR="0063500E" w:rsidRPr="0063500E">
        <w:rPr>
          <w:rFonts w:ascii="Cambria" w:eastAsia="Calibri" w:hAnsi="Cambria" w:cs="Calibri"/>
          <w:sz w:val="22"/>
          <w:szCs w:val="22"/>
          <w:lang w:eastAsia="en-US"/>
        </w:rPr>
        <w:t>пребиваващи или пътуващи зад граница. В тази връзка следва да се отбележат осъществените мерки за облекчаване на достъпа до консулско обслужване</w:t>
      </w:r>
      <w:r>
        <w:rPr>
          <w:rFonts w:ascii="Cambria" w:eastAsia="Calibri" w:hAnsi="Cambria" w:cs="Calibri"/>
          <w:sz w:val="22"/>
          <w:szCs w:val="22"/>
          <w:lang w:eastAsia="en-US"/>
        </w:rPr>
        <w:t>, вкл. разширяването на електронните услуги</w:t>
      </w:r>
      <w:r w:rsidR="0063500E" w:rsidRPr="0063500E">
        <w:rPr>
          <w:rFonts w:ascii="Cambria" w:eastAsia="Calibri" w:hAnsi="Cambria" w:cs="Calibri"/>
          <w:sz w:val="22"/>
          <w:szCs w:val="22"/>
          <w:lang w:eastAsia="en-US"/>
        </w:rPr>
        <w:t>. Последователно се работи за поддържане на българската идентичност, език и култура в традиционните и нови български общности.</w:t>
      </w:r>
    </w:p>
    <w:p w:rsidR="00C26CC8" w:rsidRPr="00C26CC8" w:rsidRDefault="007B4F64" w:rsidP="00205EDA">
      <w:pPr>
        <w:tabs>
          <w:tab w:val="left" w:pos="0"/>
        </w:tabs>
        <w:jc w:val="both"/>
        <w:rPr>
          <w:rFonts w:ascii="Cambria" w:hAnsi="Cambria"/>
          <w:sz w:val="22"/>
          <w:szCs w:val="22"/>
        </w:rPr>
      </w:pPr>
      <w:r>
        <w:rPr>
          <w:rFonts w:ascii="Cambria" w:hAnsi="Cambria"/>
          <w:sz w:val="22"/>
          <w:szCs w:val="22"/>
        </w:rPr>
        <w:tab/>
      </w:r>
      <w:r w:rsidR="00C26CC8">
        <w:rPr>
          <w:rFonts w:ascii="Cambria" w:hAnsi="Cambria"/>
          <w:sz w:val="22"/>
          <w:szCs w:val="22"/>
        </w:rPr>
        <w:t xml:space="preserve">България развива </w:t>
      </w:r>
      <w:proofErr w:type="spellStart"/>
      <w:r w:rsidR="00C26CC8" w:rsidRPr="00C26CC8">
        <w:rPr>
          <w:rFonts w:ascii="Cambria" w:hAnsi="Cambria"/>
          <w:sz w:val="22"/>
          <w:szCs w:val="22"/>
        </w:rPr>
        <w:t>многовекторна</w:t>
      </w:r>
      <w:proofErr w:type="spellEnd"/>
      <w:r w:rsidR="00C26CC8">
        <w:rPr>
          <w:rFonts w:ascii="Cambria" w:hAnsi="Cambria"/>
          <w:sz w:val="22"/>
          <w:szCs w:val="22"/>
        </w:rPr>
        <w:t xml:space="preserve"> външна политика</w:t>
      </w:r>
      <w:r w:rsidR="00C26CC8" w:rsidRPr="00C26CC8">
        <w:rPr>
          <w:rFonts w:ascii="Cambria" w:hAnsi="Cambria"/>
          <w:sz w:val="22"/>
          <w:szCs w:val="22"/>
        </w:rPr>
        <w:t xml:space="preserve"> като политическият диалог е насочен към търсене на възможности за гарантиране на сигурна и стабилна среда, в която страната постига икономическо развитие </w:t>
      </w:r>
      <w:r w:rsidR="00F81F70">
        <w:rPr>
          <w:rFonts w:ascii="Cambria" w:hAnsi="Cambria"/>
          <w:sz w:val="22"/>
          <w:szCs w:val="22"/>
        </w:rPr>
        <w:t>за</w:t>
      </w:r>
      <w:r w:rsidR="00C26CC8" w:rsidRPr="00C26CC8">
        <w:rPr>
          <w:rFonts w:ascii="Cambria" w:hAnsi="Cambria"/>
          <w:sz w:val="22"/>
          <w:szCs w:val="22"/>
        </w:rPr>
        <w:t xml:space="preserve"> подобряване на условията за живот и благосъстоянието на българските граждани. Българската дипломация полага усилия за </w:t>
      </w:r>
      <w:r w:rsidR="00C26CC8" w:rsidRPr="00C26CC8">
        <w:rPr>
          <w:rFonts w:ascii="Cambria" w:hAnsi="Cambria"/>
          <w:sz w:val="22"/>
          <w:szCs w:val="22"/>
        </w:rPr>
        <w:lastRenderedPageBreak/>
        <w:t>утвърждаване на облика на България на страна с устойчива икономическа и финансова среда и предпочитана дестинация за развитие на бизнес</w:t>
      </w:r>
      <w:r w:rsidR="00F81F70">
        <w:rPr>
          <w:rFonts w:ascii="Cambria" w:hAnsi="Cambria"/>
          <w:sz w:val="22"/>
          <w:szCs w:val="22"/>
        </w:rPr>
        <w:t xml:space="preserve"> и привличане на инвестиции.</w:t>
      </w:r>
    </w:p>
    <w:p w:rsidR="00E777C0" w:rsidRPr="00C54F73" w:rsidRDefault="007B4F64" w:rsidP="00205EDA">
      <w:pPr>
        <w:tabs>
          <w:tab w:val="left" w:pos="0"/>
        </w:tabs>
        <w:jc w:val="both"/>
        <w:rPr>
          <w:rFonts w:ascii="Cambria" w:hAnsi="Cambria"/>
          <w:sz w:val="22"/>
          <w:szCs w:val="22"/>
        </w:rPr>
      </w:pPr>
      <w:r>
        <w:rPr>
          <w:rFonts w:ascii="Cambria" w:hAnsi="Cambria"/>
          <w:sz w:val="22"/>
          <w:szCs w:val="22"/>
        </w:rPr>
        <w:tab/>
      </w:r>
      <w:r w:rsidR="00C26CC8" w:rsidRPr="00C26CC8">
        <w:rPr>
          <w:rFonts w:ascii="Cambria" w:hAnsi="Cambria"/>
          <w:sz w:val="22"/>
          <w:szCs w:val="22"/>
        </w:rPr>
        <w:t xml:space="preserve">В резултат на положените усилия страната ни </w:t>
      </w:r>
      <w:r w:rsidR="001F3B67">
        <w:rPr>
          <w:rFonts w:ascii="Cambria" w:hAnsi="Cambria"/>
          <w:sz w:val="22"/>
          <w:szCs w:val="22"/>
        </w:rPr>
        <w:t xml:space="preserve">става </w:t>
      </w:r>
      <w:r w:rsidR="00C26CC8" w:rsidRPr="00C26CC8">
        <w:rPr>
          <w:rFonts w:ascii="Cambria" w:hAnsi="Cambria"/>
          <w:sz w:val="22"/>
          <w:szCs w:val="22"/>
        </w:rPr>
        <w:t>по-видима и получава признание за нашата роля и принос</w:t>
      </w:r>
      <w:r w:rsidR="001F3B67">
        <w:rPr>
          <w:rFonts w:ascii="Cambria" w:hAnsi="Cambria"/>
          <w:sz w:val="22"/>
          <w:szCs w:val="22"/>
        </w:rPr>
        <w:t xml:space="preserve"> на</w:t>
      </w:r>
      <w:r w:rsidR="00C26CC8" w:rsidRPr="00C26CC8">
        <w:rPr>
          <w:rFonts w:ascii="Cambria" w:hAnsi="Cambria"/>
          <w:sz w:val="22"/>
          <w:szCs w:val="22"/>
        </w:rPr>
        <w:t xml:space="preserve"> региона</w:t>
      </w:r>
      <w:r w:rsidR="001F3B67">
        <w:rPr>
          <w:rFonts w:ascii="Cambria" w:hAnsi="Cambria"/>
          <w:sz w:val="22"/>
          <w:szCs w:val="22"/>
        </w:rPr>
        <w:t>лно ниво и в рамките на ЕС.</w:t>
      </w:r>
    </w:p>
    <w:sectPr w:rsidR="00E777C0" w:rsidRPr="00C54F73" w:rsidSect="00216F67">
      <w:footerReference w:type="default" r:id="rId8"/>
      <w:pgSz w:w="12240" w:h="15840"/>
      <w:pgMar w:top="1134"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ADF" w:rsidRDefault="006D3ADF" w:rsidP="00514146">
      <w:r>
        <w:separator/>
      </w:r>
    </w:p>
  </w:endnote>
  <w:endnote w:type="continuationSeparator" w:id="0">
    <w:p w:rsidR="006D3ADF" w:rsidRDefault="006D3ADF" w:rsidP="0051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40562"/>
      <w:docPartObj>
        <w:docPartGallery w:val="Page Numbers (Bottom of Page)"/>
        <w:docPartUnique/>
      </w:docPartObj>
    </w:sdtPr>
    <w:sdtEndPr>
      <w:rPr>
        <w:noProof/>
      </w:rPr>
    </w:sdtEndPr>
    <w:sdtContent>
      <w:p w:rsidR="00514146" w:rsidRDefault="00514146">
        <w:pPr>
          <w:pStyle w:val="Footer"/>
          <w:jc w:val="right"/>
        </w:pPr>
        <w:r>
          <w:fldChar w:fldCharType="begin"/>
        </w:r>
        <w:r>
          <w:instrText xml:space="preserve"> PAGE   \* MERGEFORMAT </w:instrText>
        </w:r>
        <w:r>
          <w:fldChar w:fldCharType="separate"/>
        </w:r>
        <w:r w:rsidR="00D43235">
          <w:rPr>
            <w:noProof/>
          </w:rPr>
          <w:t>5</w:t>
        </w:r>
        <w:r>
          <w:rPr>
            <w:noProof/>
          </w:rPr>
          <w:fldChar w:fldCharType="end"/>
        </w:r>
      </w:p>
    </w:sdtContent>
  </w:sdt>
  <w:p w:rsidR="00514146" w:rsidRDefault="00514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ADF" w:rsidRDefault="006D3ADF" w:rsidP="00514146">
      <w:r>
        <w:separator/>
      </w:r>
    </w:p>
  </w:footnote>
  <w:footnote w:type="continuationSeparator" w:id="0">
    <w:p w:rsidR="006D3ADF" w:rsidRDefault="006D3ADF" w:rsidP="00514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D6772"/>
    <w:multiLevelType w:val="hybridMultilevel"/>
    <w:tmpl w:val="3A44A620"/>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ABC43F9"/>
    <w:multiLevelType w:val="hybridMultilevel"/>
    <w:tmpl w:val="D79E67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6B1"/>
    <w:rsid w:val="00000802"/>
    <w:rsid w:val="00012178"/>
    <w:rsid w:val="000253BC"/>
    <w:rsid w:val="0003025B"/>
    <w:rsid w:val="00052105"/>
    <w:rsid w:val="000C2CDB"/>
    <w:rsid w:val="00103702"/>
    <w:rsid w:val="00111DDA"/>
    <w:rsid w:val="00140EA7"/>
    <w:rsid w:val="00144FB9"/>
    <w:rsid w:val="0016447F"/>
    <w:rsid w:val="00174B44"/>
    <w:rsid w:val="00181A9D"/>
    <w:rsid w:val="001B04D9"/>
    <w:rsid w:val="001B781B"/>
    <w:rsid w:val="001C1CA7"/>
    <w:rsid w:val="001C49DD"/>
    <w:rsid w:val="001D5265"/>
    <w:rsid w:val="001E3488"/>
    <w:rsid w:val="001E78D8"/>
    <w:rsid w:val="001F144C"/>
    <w:rsid w:val="001F3B67"/>
    <w:rsid w:val="00205EDA"/>
    <w:rsid w:val="00216F67"/>
    <w:rsid w:val="00245DF0"/>
    <w:rsid w:val="00250D51"/>
    <w:rsid w:val="00256FD2"/>
    <w:rsid w:val="00282D00"/>
    <w:rsid w:val="00287BC9"/>
    <w:rsid w:val="002B3EB8"/>
    <w:rsid w:val="002B7DFC"/>
    <w:rsid w:val="00300665"/>
    <w:rsid w:val="00316FCD"/>
    <w:rsid w:val="00332F11"/>
    <w:rsid w:val="0034707E"/>
    <w:rsid w:val="0037225B"/>
    <w:rsid w:val="003772AE"/>
    <w:rsid w:val="003A1000"/>
    <w:rsid w:val="003A3F7C"/>
    <w:rsid w:val="003C67AB"/>
    <w:rsid w:val="003D1BCA"/>
    <w:rsid w:val="0040140D"/>
    <w:rsid w:val="0040270E"/>
    <w:rsid w:val="00432431"/>
    <w:rsid w:val="004774F2"/>
    <w:rsid w:val="004928CB"/>
    <w:rsid w:val="004A5050"/>
    <w:rsid w:val="004B44C4"/>
    <w:rsid w:val="004E2D52"/>
    <w:rsid w:val="00514146"/>
    <w:rsid w:val="00535302"/>
    <w:rsid w:val="00557E22"/>
    <w:rsid w:val="00560199"/>
    <w:rsid w:val="0057024D"/>
    <w:rsid w:val="00591FA7"/>
    <w:rsid w:val="005C570B"/>
    <w:rsid w:val="005D3045"/>
    <w:rsid w:val="005F6C15"/>
    <w:rsid w:val="00611D8D"/>
    <w:rsid w:val="00615FD2"/>
    <w:rsid w:val="00622221"/>
    <w:rsid w:val="006259DD"/>
    <w:rsid w:val="0063500E"/>
    <w:rsid w:val="0066020E"/>
    <w:rsid w:val="006657EF"/>
    <w:rsid w:val="00672039"/>
    <w:rsid w:val="00682E94"/>
    <w:rsid w:val="0069578F"/>
    <w:rsid w:val="00695B69"/>
    <w:rsid w:val="006A6C8B"/>
    <w:rsid w:val="006B01D4"/>
    <w:rsid w:val="006C19C7"/>
    <w:rsid w:val="006D3ADF"/>
    <w:rsid w:val="006D3C7F"/>
    <w:rsid w:val="00716761"/>
    <w:rsid w:val="007202AC"/>
    <w:rsid w:val="00725CD0"/>
    <w:rsid w:val="0073169B"/>
    <w:rsid w:val="00732A96"/>
    <w:rsid w:val="00764CA0"/>
    <w:rsid w:val="00775ED0"/>
    <w:rsid w:val="00794EE2"/>
    <w:rsid w:val="00795AAF"/>
    <w:rsid w:val="007A4AAF"/>
    <w:rsid w:val="007B4F64"/>
    <w:rsid w:val="007B5293"/>
    <w:rsid w:val="007C24C7"/>
    <w:rsid w:val="007E0499"/>
    <w:rsid w:val="007F06D8"/>
    <w:rsid w:val="008029A0"/>
    <w:rsid w:val="00805721"/>
    <w:rsid w:val="0085470E"/>
    <w:rsid w:val="008606AC"/>
    <w:rsid w:val="008608A3"/>
    <w:rsid w:val="0087668C"/>
    <w:rsid w:val="00883610"/>
    <w:rsid w:val="008872E4"/>
    <w:rsid w:val="00894B5E"/>
    <w:rsid w:val="008E64EB"/>
    <w:rsid w:val="009018F5"/>
    <w:rsid w:val="009248FD"/>
    <w:rsid w:val="0095448D"/>
    <w:rsid w:val="009649D4"/>
    <w:rsid w:val="00971A24"/>
    <w:rsid w:val="00974E58"/>
    <w:rsid w:val="009811B5"/>
    <w:rsid w:val="009C01B5"/>
    <w:rsid w:val="009D47A9"/>
    <w:rsid w:val="009E2022"/>
    <w:rsid w:val="009F07B7"/>
    <w:rsid w:val="009F69AC"/>
    <w:rsid w:val="00A37C6E"/>
    <w:rsid w:val="00A51B15"/>
    <w:rsid w:val="00A62950"/>
    <w:rsid w:val="00A841FD"/>
    <w:rsid w:val="00AB0F0D"/>
    <w:rsid w:val="00AB0F52"/>
    <w:rsid w:val="00AB2E84"/>
    <w:rsid w:val="00AB4A8F"/>
    <w:rsid w:val="00AF3C40"/>
    <w:rsid w:val="00AF6E05"/>
    <w:rsid w:val="00B26936"/>
    <w:rsid w:val="00B879FC"/>
    <w:rsid w:val="00B92F75"/>
    <w:rsid w:val="00BA41B8"/>
    <w:rsid w:val="00BA5286"/>
    <w:rsid w:val="00BC5527"/>
    <w:rsid w:val="00BE7B28"/>
    <w:rsid w:val="00BF520C"/>
    <w:rsid w:val="00C1410D"/>
    <w:rsid w:val="00C14167"/>
    <w:rsid w:val="00C17965"/>
    <w:rsid w:val="00C214BC"/>
    <w:rsid w:val="00C26CC8"/>
    <w:rsid w:val="00C370C0"/>
    <w:rsid w:val="00C37EF6"/>
    <w:rsid w:val="00C46441"/>
    <w:rsid w:val="00C54F73"/>
    <w:rsid w:val="00C7580E"/>
    <w:rsid w:val="00CC46B1"/>
    <w:rsid w:val="00CC4AC5"/>
    <w:rsid w:val="00CF5629"/>
    <w:rsid w:val="00D13F17"/>
    <w:rsid w:val="00D43235"/>
    <w:rsid w:val="00D65490"/>
    <w:rsid w:val="00DA1FD9"/>
    <w:rsid w:val="00DA4226"/>
    <w:rsid w:val="00DB16DE"/>
    <w:rsid w:val="00DF6754"/>
    <w:rsid w:val="00E42835"/>
    <w:rsid w:val="00E45504"/>
    <w:rsid w:val="00E54A49"/>
    <w:rsid w:val="00E637D2"/>
    <w:rsid w:val="00E777C0"/>
    <w:rsid w:val="00E95B69"/>
    <w:rsid w:val="00EB3869"/>
    <w:rsid w:val="00EC78A2"/>
    <w:rsid w:val="00EC7C8F"/>
    <w:rsid w:val="00EE6AB0"/>
    <w:rsid w:val="00EF02EC"/>
    <w:rsid w:val="00EF0A72"/>
    <w:rsid w:val="00EF4086"/>
    <w:rsid w:val="00F1681C"/>
    <w:rsid w:val="00F36826"/>
    <w:rsid w:val="00F42A69"/>
    <w:rsid w:val="00F81F70"/>
    <w:rsid w:val="00F95CEA"/>
    <w:rsid w:val="00FA0193"/>
    <w:rsid w:val="00FB1F7A"/>
    <w:rsid w:val="00FE7DE1"/>
    <w:rsid w:val="00FF3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BEFBD"/>
  <w15:chartTrackingRefBased/>
  <w15:docId w15:val="{B5E07D0C-2A43-48B8-B5BE-2C2E3A7D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6B1"/>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CC46B1"/>
    <w:pPr>
      <w:keepNext/>
      <w:ind w:firstLine="720"/>
      <w:jc w:val="both"/>
      <w:outlineLvl w:val="0"/>
    </w:pPr>
    <w:rPr>
      <w:b/>
      <w:cap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6B1"/>
    <w:rPr>
      <w:rFonts w:ascii="Times New Roman" w:eastAsia="Times New Roman" w:hAnsi="Times New Roman" w:cs="Times New Roman"/>
      <w:b/>
      <w:caps/>
      <w:sz w:val="24"/>
      <w:szCs w:val="20"/>
      <w:lang w:val="bg-BG" w:eastAsia="bg-BG"/>
    </w:rPr>
  </w:style>
  <w:style w:type="paragraph" w:styleId="NoSpacing">
    <w:name w:val="No Spacing"/>
    <w:link w:val="NoSpacingChar"/>
    <w:uiPriority w:val="1"/>
    <w:qFormat/>
    <w:rsid w:val="00CC46B1"/>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CC46B1"/>
    <w:rPr>
      <w:rFonts w:ascii="Calibri" w:eastAsia="Calibri" w:hAnsi="Calibri" w:cs="Times New Roman"/>
      <w:lang w:val="bg-BG"/>
    </w:rPr>
  </w:style>
  <w:style w:type="paragraph" w:customStyle="1" w:styleId="Body">
    <w:name w:val="Body"/>
    <w:rsid w:val="00CC46B1"/>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Header">
    <w:name w:val="header"/>
    <w:basedOn w:val="Normal"/>
    <w:link w:val="HeaderChar"/>
    <w:uiPriority w:val="99"/>
    <w:unhideWhenUsed/>
    <w:rsid w:val="00514146"/>
    <w:pPr>
      <w:tabs>
        <w:tab w:val="center" w:pos="4703"/>
        <w:tab w:val="right" w:pos="9406"/>
      </w:tabs>
    </w:pPr>
  </w:style>
  <w:style w:type="character" w:customStyle="1" w:styleId="HeaderChar">
    <w:name w:val="Header Char"/>
    <w:basedOn w:val="DefaultParagraphFont"/>
    <w:link w:val="Header"/>
    <w:uiPriority w:val="99"/>
    <w:rsid w:val="00514146"/>
    <w:rPr>
      <w:rFonts w:ascii="Times New Roman" w:eastAsia="Times New Roman" w:hAnsi="Times New Roman" w:cs="Times New Roman"/>
      <w:sz w:val="20"/>
      <w:szCs w:val="20"/>
      <w:lang w:val="bg-BG" w:eastAsia="bg-BG"/>
    </w:rPr>
  </w:style>
  <w:style w:type="paragraph" w:styleId="Footer">
    <w:name w:val="footer"/>
    <w:basedOn w:val="Normal"/>
    <w:link w:val="FooterChar"/>
    <w:uiPriority w:val="99"/>
    <w:unhideWhenUsed/>
    <w:rsid w:val="00514146"/>
    <w:pPr>
      <w:tabs>
        <w:tab w:val="center" w:pos="4703"/>
        <w:tab w:val="right" w:pos="9406"/>
      </w:tabs>
    </w:pPr>
  </w:style>
  <w:style w:type="character" w:customStyle="1" w:styleId="FooterChar">
    <w:name w:val="Footer Char"/>
    <w:basedOn w:val="DefaultParagraphFont"/>
    <w:link w:val="Footer"/>
    <w:uiPriority w:val="99"/>
    <w:rsid w:val="00514146"/>
    <w:rPr>
      <w:rFonts w:ascii="Times New Roman" w:eastAsia="Times New Roman" w:hAnsi="Times New Roman" w:cs="Times New Roman"/>
      <w:sz w:val="20"/>
      <w:szCs w:val="20"/>
      <w:lang w:val="bg-BG" w:eastAsia="bg-BG"/>
    </w:rPr>
  </w:style>
  <w:style w:type="character" w:styleId="CommentReference">
    <w:name w:val="annotation reference"/>
    <w:basedOn w:val="DefaultParagraphFont"/>
    <w:uiPriority w:val="99"/>
    <w:semiHidden/>
    <w:unhideWhenUsed/>
    <w:rsid w:val="001C1CA7"/>
    <w:rPr>
      <w:sz w:val="16"/>
      <w:szCs w:val="16"/>
    </w:rPr>
  </w:style>
  <w:style w:type="paragraph" w:styleId="CommentText">
    <w:name w:val="annotation text"/>
    <w:basedOn w:val="Normal"/>
    <w:link w:val="CommentTextChar"/>
    <w:uiPriority w:val="99"/>
    <w:semiHidden/>
    <w:unhideWhenUsed/>
    <w:rsid w:val="001C1CA7"/>
  </w:style>
  <w:style w:type="character" w:customStyle="1" w:styleId="CommentTextChar">
    <w:name w:val="Comment Text Char"/>
    <w:basedOn w:val="DefaultParagraphFont"/>
    <w:link w:val="CommentText"/>
    <w:uiPriority w:val="99"/>
    <w:semiHidden/>
    <w:rsid w:val="001C1CA7"/>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C1CA7"/>
    <w:rPr>
      <w:b/>
      <w:bCs/>
    </w:rPr>
  </w:style>
  <w:style w:type="character" w:customStyle="1" w:styleId="CommentSubjectChar">
    <w:name w:val="Comment Subject Char"/>
    <w:basedOn w:val="CommentTextChar"/>
    <w:link w:val="CommentSubject"/>
    <w:uiPriority w:val="99"/>
    <w:semiHidden/>
    <w:rsid w:val="001C1CA7"/>
    <w:rPr>
      <w:rFonts w:ascii="Times New Roman" w:eastAsia="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C1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CA7"/>
    <w:rPr>
      <w:rFonts w:ascii="Segoe UI" w:eastAsia="Times New Roman" w:hAnsi="Segoe UI" w:cs="Segoe UI"/>
      <w:sz w:val="18"/>
      <w:szCs w:val="18"/>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962851">
      <w:bodyDiv w:val="1"/>
      <w:marLeft w:val="0"/>
      <w:marRight w:val="0"/>
      <w:marTop w:val="0"/>
      <w:marBottom w:val="0"/>
      <w:divBdr>
        <w:top w:val="none" w:sz="0" w:space="0" w:color="auto"/>
        <w:left w:val="none" w:sz="0" w:space="0" w:color="auto"/>
        <w:bottom w:val="none" w:sz="0" w:space="0" w:color="auto"/>
        <w:right w:val="none" w:sz="0" w:space="0" w:color="auto"/>
      </w:divBdr>
    </w:div>
    <w:div w:id="977762693">
      <w:bodyDiv w:val="1"/>
      <w:marLeft w:val="0"/>
      <w:marRight w:val="0"/>
      <w:marTop w:val="0"/>
      <w:marBottom w:val="0"/>
      <w:divBdr>
        <w:top w:val="none" w:sz="0" w:space="0" w:color="auto"/>
        <w:left w:val="none" w:sz="0" w:space="0" w:color="auto"/>
        <w:bottom w:val="none" w:sz="0" w:space="0" w:color="auto"/>
        <w:right w:val="none" w:sz="0" w:space="0" w:color="auto"/>
      </w:divBdr>
    </w:div>
    <w:div w:id="19682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5E468-4449-40A6-91DF-BE2C414F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Nikolay Pavlov</cp:lastModifiedBy>
  <cp:revision>87</cp:revision>
  <dcterms:created xsi:type="dcterms:W3CDTF">2021-08-26T11:47:00Z</dcterms:created>
  <dcterms:modified xsi:type="dcterms:W3CDTF">2021-08-27T12:30:00Z</dcterms:modified>
</cp:coreProperties>
</file>